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7A1CA5">
      <w:pPr>
        <w:ind w:left="400"/>
      </w:pPr>
      <w:bookmarkStart w:id="0" w:name="_Hlk179904352"/>
      <w:bookmarkEnd w:id="0"/>
    </w:p>
    <w:p w14:paraId="1FA99EBD">
      <w:pPr>
        <w:ind w:left="400"/>
      </w:pPr>
    </w:p>
    <w:p w14:paraId="493B865C">
      <w:pPr>
        <w:ind w:left="400"/>
      </w:pPr>
    </w:p>
    <w:p w14:paraId="0B9E5F20">
      <w:pPr>
        <w:ind w:left="400"/>
      </w:pPr>
    </w:p>
    <w:p w14:paraId="55B41116">
      <w:pPr>
        <w:ind w:left="400"/>
      </w:pPr>
    </w:p>
    <w:p w14:paraId="78005740">
      <w:pPr>
        <w:ind w:left="400"/>
      </w:pPr>
    </w:p>
    <w:p w14:paraId="40201F6C">
      <w:pPr>
        <w:spacing w:before="247"/>
        <w:ind w:left="400"/>
      </w:pPr>
    </w:p>
    <w:p w14:paraId="2B623EBD">
      <w:pPr>
        <w:spacing w:before="247"/>
        <w:ind w:left="400"/>
      </w:pPr>
    </w:p>
    <w:p w14:paraId="730D9D97">
      <w:pPr>
        <w:spacing w:before="247"/>
        <w:ind w:left="400"/>
      </w:pPr>
    </w:p>
    <w:p w14:paraId="6C63AE40">
      <w:pPr>
        <w:spacing w:before="247"/>
        <w:ind w:left="400"/>
      </w:pPr>
    </w:p>
    <w:p w14:paraId="4720CBF4">
      <w:pPr>
        <w:spacing w:before="90"/>
        <w:ind w:left="400"/>
        <w:jc w:val="center"/>
        <w:rPr>
          <w:b/>
          <w:color w:val="4472C4" w:themeColor="accent1"/>
          <w:sz w:val="72"/>
          <w:szCs w:val="72"/>
          <w14:textFill>
            <w14:solidFill>
              <w14:schemeClr w14:val="accent1"/>
            </w14:solidFill>
          </w14:textFill>
        </w:rPr>
      </w:pPr>
      <w:r>
        <w:rPr>
          <w:rFonts w:hint="eastAsia"/>
          <w:b/>
          <w:color w:val="4472C4" w:themeColor="accent1"/>
          <w:sz w:val="72"/>
          <w:szCs w:val="72"/>
          <w14:textFill>
            <w14:solidFill>
              <w14:schemeClr w14:val="accent1"/>
            </w14:solidFill>
          </w14:textFill>
        </w:rPr>
        <w:t>资产保护系统手册-Client</w:t>
      </w:r>
    </w:p>
    <w:p w14:paraId="503D2F79">
      <w:pPr>
        <w:spacing w:before="90"/>
        <w:ind w:left="400"/>
        <w:jc w:val="center"/>
        <w:rPr>
          <w:rFonts w:hint="eastAsia" w:eastAsiaTheme="minorEastAsia"/>
          <w:b/>
          <w:color w:val="4472C4" w:themeColor="accent1"/>
          <w:spacing w:val="-2"/>
          <w:sz w:val="72"/>
          <w:szCs w:val="72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b/>
          <w:color w:val="4472C4" w:themeColor="accent1"/>
          <w:sz w:val="72"/>
          <w:szCs w:val="72"/>
          <w14:textFill>
            <w14:solidFill>
              <w14:schemeClr w14:val="accent1"/>
            </w14:solidFill>
          </w14:textFill>
        </w:rPr>
        <w:t>版本</w:t>
      </w:r>
      <w:r>
        <w:rPr>
          <w:b/>
          <w:color w:val="4472C4" w:themeColor="accent1"/>
          <w:spacing w:val="-19"/>
          <w:sz w:val="72"/>
          <w:szCs w:val="72"/>
          <w14:textFill>
            <w14:solidFill>
              <w14:schemeClr w14:val="accent1"/>
            </w14:solidFill>
          </w14:textFill>
        </w:rPr>
        <w:t xml:space="preserve"> </w:t>
      </w:r>
      <w:r>
        <w:rPr>
          <w:b/>
          <w:color w:val="4472C4" w:themeColor="accent1"/>
          <w:spacing w:val="-2"/>
          <w:sz w:val="72"/>
          <w:szCs w:val="72"/>
          <w14:textFill>
            <w14:solidFill>
              <w14:schemeClr w14:val="accent1"/>
            </w14:solidFill>
          </w14:textFill>
        </w:rPr>
        <w:t>1.0.</w:t>
      </w:r>
      <w:r>
        <w:rPr>
          <w:rFonts w:hint="eastAsia"/>
          <w:b/>
          <w:color w:val="4472C4" w:themeColor="accent1"/>
          <w:spacing w:val="-2"/>
          <w:sz w:val="72"/>
          <w:szCs w:val="72"/>
          <w:lang w:val="en-US" w:eastAsia="zh-CN"/>
          <w14:textFill>
            <w14:solidFill>
              <w14:schemeClr w14:val="accent1"/>
            </w14:solidFill>
          </w14:textFill>
        </w:rPr>
        <w:t>5</w:t>
      </w:r>
    </w:p>
    <w:p w14:paraId="56531B02">
      <w:pPr>
        <w:spacing w:before="90"/>
        <w:ind w:left="400"/>
        <w:jc w:val="center"/>
        <w:rPr>
          <w:rFonts w:hint="default" w:eastAsiaTheme="minorEastAsia"/>
          <w:b/>
          <w:color w:val="4472C4" w:themeColor="accent1"/>
          <w:spacing w:val="-2"/>
          <w:sz w:val="72"/>
          <w:szCs w:val="72"/>
          <w:lang w:val="en-US" w:eastAsia="zh-CN"/>
          <w14:textFill>
            <w14:solidFill>
              <w14:schemeClr w14:val="accent1"/>
            </w14:solidFill>
          </w14:textFill>
        </w:rPr>
      </w:pPr>
      <w:r>
        <w:rPr>
          <w:rFonts w:hint="eastAsia"/>
          <w:b/>
          <w:color w:val="4472C4" w:themeColor="accent1"/>
          <w:spacing w:val="-2"/>
          <w:sz w:val="72"/>
          <w:szCs w:val="72"/>
          <w14:textFill>
            <w14:solidFill>
              <w14:schemeClr w14:val="accent1"/>
            </w14:solidFill>
          </w14:textFill>
        </w:rPr>
        <w:t>2024-</w:t>
      </w:r>
      <w:r>
        <w:rPr>
          <w:rFonts w:hint="eastAsia"/>
          <w:b/>
          <w:color w:val="4472C4" w:themeColor="accent1"/>
          <w:spacing w:val="-2"/>
          <w:sz w:val="72"/>
          <w:szCs w:val="72"/>
          <w:lang w:val="en-US" w:eastAsia="zh-CN"/>
          <w14:textFill>
            <w14:solidFill>
              <w14:schemeClr w14:val="accent1"/>
            </w14:solidFill>
          </w14:textFill>
        </w:rPr>
        <w:t>03</w:t>
      </w:r>
      <w:r>
        <w:rPr>
          <w:rFonts w:hint="eastAsia"/>
          <w:b/>
          <w:color w:val="4472C4" w:themeColor="accent1"/>
          <w:spacing w:val="-2"/>
          <w:sz w:val="72"/>
          <w:szCs w:val="72"/>
          <w14:textFill>
            <w14:solidFill>
              <w14:schemeClr w14:val="accent1"/>
            </w14:solidFill>
          </w14:textFill>
        </w:rPr>
        <w:t>-</w:t>
      </w:r>
      <w:r>
        <w:rPr>
          <w:rFonts w:hint="eastAsia"/>
          <w:b/>
          <w:color w:val="4472C4" w:themeColor="accent1"/>
          <w:spacing w:val="-2"/>
          <w:sz w:val="72"/>
          <w:szCs w:val="72"/>
          <w:lang w:val="en-US" w:eastAsia="zh-CN"/>
          <w14:textFill>
            <w14:solidFill>
              <w14:schemeClr w14:val="accent1"/>
            </w14:solidFill>
          </w14:textFill>
        </w:rPr>
        <w:t>14</w:t>
      </w:r>
      <w:bookmarkStart w:id="36" w:name="_GoBack"/>
      <w:bookmarkEnd w:id="36"/>
    </w:p>
    <w:p w14:paraId="4D4004B3">
      <w:pPr>
        <w:ind w:left="400"/>
      </w:pPr>
      <w:r>
        <w:br w:type="page"/>
      </w:r>
    </w:p>
    <w:sdt>
      <w:sdtPr>
        <w:rPr>
          <w:caps w:val="0"/>
          <w:color w:val="auto"/>
          <w:spacing w:val="0"/>
          <w:sz w:val="20"/>
          <w:szCs w:val="20"/>
          <w:lang w:val="zh-CN"/>
        </w:rPr>
        <w:id w:val="-516460106"/>
        <w:docPartObj>
          <w:docPartGallery w:val="Table of Contents"/>
          <w:docPartUnique/>
        </w:docPartObj>
      </w:sdtPr>
      <w:sdtEndPr>
        <w:rPr>
          <w:b/>
          <w:bCs/>
          <w:caps w:val="0"/>
          <w:color w:val="auto"/>
          <w:spacing w:val="0"/>
          <w:sz w:val="32"/>
          <w:szCs w:val="20"/>
          <w:lang w:val="zh-CN"/>
        </w:rPr>
      </w:sdtEndPr>
      <w:sdtContent>
        <w:p w14:paraId="2C01333A">
          <w:pPr>
            <w:pStyle w:val="47"/>
            <w:ind w:left="400"/>
            <w:rPr>
              <w:sz w:val="56"/>
              <w:szCs w:val="56"/>
            </w:rPr>
          </w:pPr>
          <w:r>
            <w:rPr>
              <w:rFonts w:hint="eastAsia"/>
              <w:sz w:val="56"/>
              <w:szCs w:val="56"/>
            </w:rPr>
            <w:t>目录</w:t>
          </w:r>
        </w:p>
        <w:p w14:paraId="4516F6A3">
          <w:pPr>
            <w:pStyle w:val="15"/>
            <w:tabs>
              <w:tab w:val="right" w:leader="dot" w:pos="11414"/>
            </w:tabs>
            <w:rPr>
              <w:kern w:val="2"/>
              <w:sz w:val="21"/>
              <w:szCs w:val="22"/>
              <w14:ligatures w14:val="standardContextual"/>
            </w:rPr>
          </w:pPr>
          <w:r>
            <w:rPr>
              <w:color w:val="2F5597" w:themeColor="accent1" w:themeShade="BF"/>
              <w:sz w:val="28"/>
              <w:szCs w:val="28"/>
            </w:rPr>
            <w:fldChar w:fldCharType="begin"/>
          </w:r>
          <w:r>
            <w:rPr>
              <w:color w:val="2F5597" w:themeColor="accent1" w:themeShade="BF"/>
              <w:sz w:val="28"/>
              <w:szCs w:val="28"/>
            </w:rPr>
            <w:instrText xml:space="preserve"> TOC \o "1-3" \h \z \u </w:instrText>
          </w:r>
          <w:r>
            <w:rPr>
              <w:color w:val="2F5597" w:themeColor="accent1" w:themeShade="BF"/>
              <w:sz w:val="28"/>
              <w:szCs w:val="28"/>
            </w:rPr>
            <w:fldChar w:fldCharType="separate"/>
          </w:r>
          <w:r>
            <w:fldChar w:fldCharType="begin"/>
          </w:r>
          <w:r>
            <w:instrText xml:space="preserve"> HYPERLINK \l "_Toc185511161" </w:instrText>
          </w:r>
          <w:r>
            <w:fldChar w:fldCharType="separate"/>
          </w:r>
          <w:r>
            <w:rPr>
              <w:rStyle w:val="24"/>
            </w:rPr>
            <w:t>1. 简要介绍</w:t>
          </w:r>
          <w:r>
            <w:tab/>
          </w:r>
          <w:r>
            <w:fldChar w:fldCharType="begin"/>
          </w:r>
          <w:r>
            <w:instrText xml:space="preserve"> PAGEREF _Toc185511161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1D009865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"_Toc185511162" </w:instrText>
          </w:r>
          <w:r>
            <w:fldChar w:fldCharType="separate"/>
          </w:r>
          <w:r>
            <w:rPr>
              <w:rStyle w:val="24"/>
            </w:rPr>
            <w:t>1.1 概述</w:t>
          </w:r>
          <w:r>
            <w:tab/>
          </w:r>
          <w:r>
            <w:fldChar w:fldCharType="begin"/>
          </w:r>
          <w:r>
            <w:instrText xml:space="preserve"> PAGEREF _Toc185511162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3AE3119D">
          <w:pPr>
            <w:pStyle w:val="15"/>
            <w:tabs>
              <w:tab w:val="right" w:leader="dot" w:pos="11414"/>
            </w:tabs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"_Toc185511163" </w:instrText>
          </w:r>
          <w:r>
            <w:fldChar w:fldCharType="separate"/>
          </w:r>
          <w:r>
            <w:rPr>
              <w:rStyle w:val="24"/>
            </w:rPr>
            <w:t>2. 安装</w:t>
          </w:r>
          <w:r>
            <w:tab/>
          </w:r>
          <w:r>
            <w:fldChar w:fldCharType="begin"/>
          </w:r>
          <w:r>
            <w:instrText xml:space="preserve"> PAGEREF _Toc185511163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34279358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"_Toc185511164" </w:instrText>
          </w:r>
          <w:r>
            <w:fldChar w:fldCharType="separate"/>
          </w:r>
          <w:r>
            <w:rPr>
              <w:rStyle w:val="24"/>
            </w:rPr>
            <w:t>2.1 系统需求</w:t>
          </w:r>
          <w:r>
            <w:tab/>
          </w:r>
          <w:r>
            <w:fldChar w:fldCharType="begin"/>
          </w:r>
          <w:r>
            <w:instrText xml:space="preserve"> PAGEREF _Toc185511164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6D4C729B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"_Toc185511165" </w:instrText>
          </w:r>
          <w:r>
            <w:fldChar w:fldCharType="separate"/>
          </w:r>
          <w:r>
            <w:rPr>
              <w:rStyle w:val="24"/>
            </w:rPr>
            <w:t>2.2 安装和卸载</w:t>
          </w:r>
          <w:r>
            <w:tab/>
          </w:r>
          <w:r>
            <w:fldChar w:fldCharType="begin"/>
          </w:r>
          <w:r>
            <w:instrText xml:space="preserve"> PAGEREF _Toc185511165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28D583C5">
          <w:pPr>
            <w:pStyle w:val="15"/>
            <w:tabs>
              <w:tab w:val="right" w:leader="dot" w:pos="11414"/>
            </w:tabs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"_Toc185511166" </w:instrText>
          </w:r>
          <w:r>
            <w:fldChar w:fldCharType="separate"/>
          </w:r>
          <w:r>
            <w:rPr>
              <w:rStyle w:val="24"/>
            </w:rPr>
            <w:t>3. 使用</w:t>
          </w:r>
          <w:r>
            <w:tab/>
          </w:r>
          <w:r>
            <w:fldChar w:fldCharType="begin"/>
          </w:r>
          <w:r>
            <w:instrText xml:space="preserve"> PAGEREF _Toc185511166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222CDFEE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"_Toc185511167" </w:instrText>
          </w:r>
          <w:r>
            <w:fldChar w:fldCharType="separate"/>
          </w:r>
          <w:r>
            <w:rPr>
              <w:rStyle w:val="24"/>
            </w:rPr>
            <w:t>3.1 软件启动</w:t>
          </w:r>
          <w:r>
            <w:tab/>
          </w:r>
          <w:r>
            <w:fldChar w:fldCharType="begin"/>
          </w:r>
          <w:r>
            <w:instrText xml:space="preserve"> PAGEREF _Toc185511167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2E976C41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"_Toc185511168" </w:instrText>
          </w:r>
          <w:r>
            <w:fldChar w:fldCharType="separate"/>
          </w:r>
          <w:r>
            <w:rPr>
              <w:rStyle w:val="24"/>
            </w:rPr>
            <w:t>3.2 解压资产压缩包</w:t>
          </w:r>
          <w:r>
            <w:tab/>
          </w:r>
          <w:r>
            <w:fldChar w:fldCharType="begin"/>
          </w:r>
          <w:r>
            <w:instrText xml:space="preserve"> PAGEREF _Toc185511168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0220B556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"_Toc185511169" </w:instrText>
          </w:r>
          <w:r>
            <w:fldChar w:fldCharType="separate"/>
          </w:r>
          <w:r>
            <w:rPr>
              <w:rStyle w:val="24"/>
            </w:rPr>
            <w:t>3.3 操作资产</w:t>
          </w:r>
          <w:r>
            <w:tab/>
          </w:r>
          <w:r>
            <w:fldChar w:fldCharType="begin"/>
          </w:r>
          <w:r>
            <w:instrText xml:space="preserve"> PAGEREF _Toc185511169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3BD94ECD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"_Toc185511170" </w:instrText>
          </w:r>
          <w:r>
            <w:fldChar w:fldCharType="separate"/>
          </w:r>
          <w:r>
            <w:rPr>
              <w:rStyle w:val="24"/>
            </w:rPr>
            <w:t>3.4 许可信息</w:t>
          </w:r>
          <w:r>
            <w:tab/>
          </w:r>
          <w:r>
            <w:fldChar w:fldCharType="begin"/>
          </w:r>
          <w:r>
            <w:instrText xml:space="preserve"> PAGEREF _Toc185511170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1AB0EEE9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"_Toc185511171" </w:instrText>
          </w:r>
          <w:r>
            <w:fldChar w:fldCharType="separate"/>
          </w:r>
          <w:r>
            <w:rPr>
              <w:rStyle w:val="24"/>
            </w:rPr>
            <w:t>3.5 设置软件语言</w:t>
          </w:r>
          <w:r>
            <w:tab/>
          </w:r>
          <w:r>
            <w:fldChar w:fldCharType="begin"/>
          </w:r>
          <w:r>
            <w:instrText xml:space="preserve"> PAGEREF _Toc185511171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10CA225C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"_Toc185511172" </w:instrText>
          </w:r>
          <w:r>
            <w:fldChar w:fldCharType="separate"/>
          </w:r>
          <w:r>
            <w:rPr>
              <w:rStyle w:val="24"/>
            </w:rPr>
            <w:t>3.6 局域网多渲染节点控制</w:t>
          </w:r>
          <w:r>
            <w:tab/>
          </w:r>
          <w:r>
            <w:fldChar w:fldCharType="begin"/>
          </w:r>
          <w:r>
            <w:instrText xml:space="preserve"> PAGEREF _Toc185511172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 w14:paraId="3594E25D">
          <w:pPr>
            <w:pStyle w:val="15"/>
            <w:tabs>
              <w:tab w:val="right" w:leader="dot" w:pos="11414"/>
            </w:tabs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"_Toc185511173" </w:instrText>
          </w:r>
          <w:r>
            <w:fldChar w:fldCharType="separate"/>
          </w:r>
          <w:r>
            <w:rPr>
              <w:rStyle w:val="24"/>
            </w:rPr>
            <w:t>4. 注意事项</w:t>
          </w:r>
          <w:r>
            <w:tab/>
          </w:r>
          <w:r>
            <w:fldChar w:fldCharType="begin"/>
          </w:r>
          <w:r>
            <w:instrText xml:space="preserve"> PAGEREF _Toc185511173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2BBCD371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"_Toc185511174" </w:instrText>
          </w:r>
          <w:r>
            <w:fldChar w:fldCharType="separate"/>
          </w:r>
          <w:r>
            <w:rPr>
              <w:rStyle w:val="24"/>
            </w:rPr>
            <w:t>4.1 不支持资产盘热插拔</w:t>
          </w:r>
          <w:r>
            <w:tab/>
          </w:r>
          <w:r>
            <w:fldChar w:fldCharType="begin"/>
          </w:r>
          <w:r>
            <w:instrText xml:space="preserve"> PAGEREF _Toc185511174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6085EBC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"_Toc185511175" </w:instrText>
          </w:r>
          <w:r>
            <w:fldChar w:fldCharType="separate"/>
          </w:r>
          <w:r>
            <w:rPr>
              <w:rStyle w:val="24"/>
            </w:rPr>
            <w:t>4.2 nDisplay 配置文件</w:t>
          </w:r>
          <w:r>
            <w:tab/>
          </w:r>
          <w:r>
            <w:fldChar w:fldCharType="begin"/>
          </w:r>
          <w:r>
            <w:instrText xml:space="preserve"> PAGEREF _Toc185511175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A270D1F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"_Toc185511176" </w:instrText>
          </w:r>
          <w:r>
            <w:fldChar w:fldCharType="separate"/>
          </w:r>
          <w:r>
            <w:rPr>
              <w:rStyle w:val="24"/>
            </w:rPr>
            <w:t>4.3 资产不要放在UE的安装盘下</w:t>
          </w:r>
          <w:r>
            <w:tab/>
          </w:r>
          <w:r>
            <w:fldChar w:fldCharType="begin"/>
          </w:r>
          <w:r>
            <w:instrText xml:space="preserve"> PAGEREF _Toc185511176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172F01EE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"_Toc185511177" </w:instrText>
          </w:r>
          <w:r>
            <w:fldChar w:fldCharType="separate"/>
          </w:r>
          <w:r>
            <w:rPr>
              <w:rStyle w:val="24"/>
            </w:rPr>
            <w:t>4.4 UE外部操作资产时请关闭保护</w:t>
          </w:r>
          <w:r>
            <w:tab/>
          </w:r>
          <w:r>
            <w:fldChar w:fldCharType="begin"/>
          </w:r>
          <w:r>
            <w:instrText xml:space="preserve"> PAGEREF _Toc185511177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169CCA0">
          <w:pPr>
            <w:pStyle w:val="17"/>
            <w:tabs>
              <w:tab w:val="right" w:leader="dot" w:pos="11414"/>
            </w:tabs>
            <w:ind w:left="640"/>
            <w:rPr>
              <w:kern w:val="2"/>
              <w:sz w:val="21"/>
              <w:szCs w:val="22"/>
              <w14:ligatures w14:val="standardContextual"/>
            </w:rPr>
          </w:pPr>
          <w:r>
            <w:fldChar w:fldCharType="begin"/>
          </w:r>
          <w:r>
            <w:instrText xml:space="preserve"> HYPERLINK \l "_Toc185511178" </w:instrText>
          </w:r>
          <w:r>
            <w:fldChar w:fldCharType="separate"/>
          </w:r>
          <w:r>
            <w:rPr>
              <w:rStyle w:val="24"/>
            </w:rPr>
            <w:t>4.5 资产保护软件导致蓝屏后处理方案</w:t>
          </w:r>
          <w:r>
            <w:tab/>
          </w:r>
          <w:r>
            <w:fldChar w:fldCharType="begin"/>
          </w:r>
          <w:r>
            <w:instrText xml:space="preserve"> PAGEREF _Toc185511178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52DBBC56">
          <w:pPr>
            <w:ind w:left="400"/>
          </w:pPr>
          <w:r>
            <w:rPr>
              <w:bCs/>
              <w:color w:val="2F5597" w:themeColor="accent1" w:themeShade="BF"/>
              <w:szCs w:val="28"/>
              <w:lang w:val="zh-CN"/>
            </w:rPr>
            <w:fldChar w:fldCharType="end"/>
          </w:r>
        </w:p>
      </w:sdtContent>
    </w:sdt>
    <w:p w14:paraId="52D52182">
      <w:pPr>
        <w:ind w:left="400"/>
        <w:rPr>
          <w:sz w:val="44"/>
          <w:szCs w:val="44"/>
        </w:rPr>
      </w:pPr>
      <w:r>
        <w:rPr>
          <w:sz w:val="44"/>
          <w:szCs w:val="44"/>
        </w:rPr>
        <w:br w:type="page"/>
      </w:r>
    </w:p>
    <w:p w14:paraId="55735D9B">
      <w:pPr>
        <w:pStyle w:val="2"/>
        <w:rPr>
          <w:sz w:val="44"/>
          <w:szCs w:val="44"/>
        </w:rPr>
      </w:pPr>
      <w:bookmarkStart w:id="1" w:name="_Toc167808148"/>
      <w:bookmarkStart w:id="2" w:name="_Toc185511161"/>
      <w:r>
        <w:rPr>
          <w:sz w:val="44"/>
          <w:szCs w:val="44"/>
        </w:rPr>
        <w:t xml:space="preserve">1. </w:t>
      </w:r>
      <w:bookmarkEnd w:id="1"/>
      <w:r>
        <w:rPr>
          <w:rFonts w:hint="eastAsia"/>
          <w:sz w:val="44"/>
          <w:szCs w:val="44"/>
        </w:rPr>
        <w:t>简要介绍</w:t>
      </w:r>
      <w:bookmarkEnd w:id="2"/>
    </w:p>
    <w:p w14:paraId="45DAD3EE">
      <w:pPr>
        <w:pStyle w:val="3"/>
      </w:pPr>
      <w:bookmarkStart w:id="3" w:name="_Hlk185508538"/>
      <w:r>
        <w:t xml:space="preserve"> </w:t>
      </w:r>
      <w:bookmarkStart w:id="4" w:name="_Toc167808149"/>
      <w:bookmarkStart w:id="5" w:name="_Toc185511162"/>
      <w:r>
        <w:t xml:space="preserve">1.1 </w:t>
      </w:r>
      <w:bookmarkEnd w:id="4"/>
      <w:r>
        <w:rPr>
          <w:rFonts w:hint="eastAsia"/>
        </w:rPr>
        <w:t>概述</w:t>
      </w:r>
      <w:bookmarkEnd w:id="5"/>
    </w:p>
    <w:p w14:paraId="77013C61">
      <w:pPr>
        <w:spacing w:after="100"/>
        <w:ind w:firstLine="640" w:firstLineChars="200"/>
        <w:rPr>
          <w:szCs w:val="32"/>
        </w:rPr>
      </w:pPr>
      <w:r>
        <w:rPr>
          <w:rFonts w:hint="eastAsia"/>
          <w:szCs w:val="32"/>
        </w:rPr>
        <w:t>UE</w:t>
      </w:r>
      <w:r>
        <w:rPr>
          <w:szCs w:val="32"/>
        </w:rPr>
        <w:t xml:space="preserve"> 资产在共享过程中存在资产被复制和使用的风险，资产内容和版权无法得到保护，资产所有者可以使用软件对资产进行加密后发布给资产使用者，资产使用者只能在</w:t>
      </w:r>
      <w:r>
        <w:rPr>
          <w:rFonts w:hint="eastAsia"/>
          <w:szCs w:val="32"/>
        </w:rPr>
        <w:t>本</w:t>
      </w:r>
      <w:r>
        <w:rPr>
          <w:szCs w:val="32"/>
        </w:rPr>
        <w:t>软件的支持下通过 UE 使用资产，而无法复制和导出资产明文内容，即使资产文件被非法复制走，也只能得到加密后的资产文件，无法在 UE 中正常使用。</w:t>
      </w:r>
    </w:p>
    <w:p w14:paraId="05765D2A">
      <w:pPr>
        <w:rPr>
          <w:caps/>
          <w:color w:val="FFFFFF" w:themeColor="background1"/>
          <w:spacing w:val="15"/>
          <w:sz w:val="44"/>
          <w:szCs w:val="44"/>
          <w14:textFill>
            <w14:solidFill>
              <w14:schemeClr w14:val="bg1"/>
            </w14:solidFill>
          </w14:textFill>
        </w:rPr>
      </w:pPr>
      <w:bookmarkStart w:id="6" w:name="_Toc167808150"/>
      <w:r>
        <w:rPr>
          <w:sz w:val="44"/>
          <w:szCs w:val="44"/>
        </w:rPr>
        <w:br w:type="page"/>
      </w:r>
    </w:p>
    <w:bookmarkEnd w:id="3"/>
    <w:p w14:paraId="28E0B48E">
      <w:pPr>
        <w:pStyle w:val="2"/>
        <w:rPr>
          <w:sz w:val="44"/>
          <w:szCs w:val="44"/>
        </w:rPr>
      </w:pPr>
      <w:bookmarkStart w:id="7" w:name="_Toc185511163"/>
      <w:r>
        <w:rPr>
          <w:sz w:val="44"/>
          <w:szCs w:val="44"/>
        </w:rPr>
        <w:t xml:space="preserve">2. </w:t>
      </w:r>
      <w:bookmarkEnd w:id="6"/>
      <w:r>
        <w:rPr>
          <w:rFonts w:hint="eastAsia"/>
          <w:sz w:val="44"/>
          <w:szCs w:val="44"/>
        </w:rPr>
        <w:t>安装</w:t>
      </w:r>
      <w:bookmarkEnd w:id="7"/>
    </w:p>
    <w:p w14:paraId="4F7B6A13">
      <w:pPr>
        <w:pStyle w:val="3"/>
      </w:pPr>
      <w:r>
        <w:t xml:space="preserve"> </w:t>
      </w:r>
      <w:bookmarkStart w:id="8" w:name="_Toc167808151"/>
      <w:bookmarkStart w:id="9" w:name="_Toc185511164"/>
      <w:r>
        <w:t xml:space="preserve">2.1 </w:t>
      </w:r>
      <w:bookmarkEnd w:id="8"/>
      <w:r>
        <w:rPr>
          <w:rFonts w:hint="eastAsia"/>
        </w:rPr>
        <w:t>系统需求</w:t>
      </w:r>
      <w:bookmarkEnd w:id="9"/>
    </w:p>
    <w:p w14:paraId="4CA14779">
      <w:pPr>
        <w:ind w:left="320" w:leftChars="100"/>
        <w:rPr>
          <w:szCs w:val="32"/>
        </w:rPr>
      </w:pPr>
      <w:r>
        <w:rPr>
          <w:rFonts w:hint="eastAsia"/>
          <w:szCs w:val="32"/>
        </w:rPr>
        <w:t>Win10/Win11 64-bit，UE</w:t>
      </w:r>
      <w:r>
        <w:rPr>
          <w:szCs w:val="32"/>
        </w:rPr>
        <w:t>5.1.1, 5.2.1, 5.3.2, 5.4.4</w:t>
      </w:r>
    </w:p>
    <w:p w14:paraId="623FCE5D">
      <w:pPr>
        <w:ind w:left="320" w:left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注意：</w:t>
      </w:r>
      <w:r>
        <w:rPr>
          <w:rFonts w:hint="eastAsia"/>
          <w:color w:val="FF0000"/>
          <w:sz w:val="28"/>
          <w:szCs w:val="28"/>
        </w:rPr>
        <w:t>需提前安装</w:t>
      </w:r>
      <w:r>
        <w:rPr>
          <w:color w:val="FF0000"/>
          <w:sz w:val="28"/>
          <w:szCs w:val="28"/>
        </w:rPr>
        <w:t>UE，否则会导致Client</w:t>
      </w:r>
      <w:r>
        <w:rPr>
          <w:rFonts w:hint="eastAsia"/>
          <w:color w:val="FF0000"/>
          <w:sz w:val="28"/>
          <w:szCs w:val="28"/>
        </w:rPr>
        <w:t>软件及驱动安装失败。</w:t>
      </w:r>
    </w:p>
    <w:p w14:paraId="44DCA4B8">
      <w:pPr>
        <w:pStyle w:val="3"/>
      </w:pPr>
      <w:bookmarkStart w:id="10" w:name="_Toc167808153"/>
      <w:r>
        <w:t xml:space="preserve"> </w:t>
      </w:r>
      <w:bookmarkStart w:id="11" w:name="_Toc185511165"/>
      <w:r>
        <w:t xml:space="preserve">2.2 </w:t>
      </w:r>
      <w:bookmarkEnd w:id="10"/>
      <w:r>
        <w:rPr>
          <w:rFonts w:hint="eastAsia"/>
        </w:rPr>
        <w:t>安装和卸载</w:t>
      </w:r>
      <w:bookmarkEnd w:id="11"/>
    </w:p>
    <w:p w14:paraId="5FA80600">
      <w:pPr>
        <w:ind w:left="320" w:leftChars="100"/>
      </w:pPr>
      <w:r>
        <w:rPr>
          <w:szCs w:val="32"/>
        </w:rPr>
        <w:t>2.2.1</w:t>
      </w:r>
      <w:r>
        <w:rPr>
          <w:rFonts w:hint="eastAsia"/>
          <w:szCs w:val="32"/>
        </w:rPr>
        <w:t>安装</w:t>
      </w:r>
      <w:r>
        <w:rPr>
          <w:szCs w:val="32"/>
        </w:rPr>
        <w:t xml:space="preserve">: </w:t>
      </w:r>
      <w:r>
        <w:rPr>
          <w:rFonts w:hint="eastAsia"/>
          <w:szCs w:val="32"/>
        </w:rPr>
        <w:t>双击“</w:t>
      </w:r>
      <w:r>
        <w:rPr>
          <w:szCs w:val="32"/>
        </w:rPr>
        <w:t>SetupClient.msi</w:t>
      </w:r>
      <w:r>
        <w:rPr>
          <w:rFonts w:hint="eastAsia"/>
          <w:szCs w:val="32"/>
        </w:rPr>
        <w:t>”，</w:t>
      </w:r>
      <w:bookmarkStart w:id="12" w:name="_Hlk185245791"/>
      <w:r>
        <w:rPr>
          <w:rFonts w:hint="eastAsia"/>
          <w:szCs w:val="32"/>
        </w:rPr>
        <w:t>并按照如下截图所示步骤进行安装：</w:t>
      </w:r>
      <w:bookmarkEnd w:id="12"/>
    </w:p>
    <w:p w14:paraId="4BFB2210">
      <w:pPr>
        <w:ind w:firstLine="420"/>
      </w:pPr>
      <w:r>
        <w:drawing>
          <wp:inline distT="0" distB="0" distL="114300" distR="114300">
            <wp:extent cx="3239770" cy="2647315"/>
            <wp:effectExtent l="0" t="0" r="17780" b="63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3239770" cy="2647315"/>
            <wp:effectExtent l="0" t="0" r="17780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ab/>
      </w:r>
      <w:r>
        <w:drawing>
          <wp:inline distT="0" distB="0" distL="114300" distR="114300">
            <wp:extent cx="3239770" cy="2647315"/>
            <wp:effectExtent l="0" t="0" r="17780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3239770" cy="2647315"/>
            <wp:effectExtent l="0" t="0" r="17780" b="63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6A783">
      <w:pPr>
        <w:ind w:left="320" w:leftChars="100"/>
        <w:rPr>
          <w:szCs w:val="32"/>
        </w:rPr>
      </w:pPr>
      <w:r>
        <w:rPr>
          <w:szCs w:val="32"/>
        </w:rPr>
        <w:t>2.2.2</w:t>
      </w:r>
      <w:r>
        <w:rPr>
          <w:rFonts w:hint="eastAsia"/>
          <w:szCs w:val="32"/>
        </w:rPr>
        <w:t>卸载</w:t>
      </w:r>
      <w:r>
        <w:rPr>
          <w:szCs w:val="32"/>
        </w:rPr>
        <w:t>:</w:t>
      </w:r>
      <w:r>
        <w:rPr>
          <w:rFonts w:hint="eastAsia"/>
          <w:szCs w:val="32"/>
        </w:rPr>
        <w:t>请进入安装目录</w:t>
      </w:r>
      <w:r>
        <w:rPr>
          <w:szCs w:val="32"/>
        </w:rPr>
        <w:t>”C:\Program Files\sony\aps\ApsClient\”，双击”uninstall ApsClient”卸载。</w:t>
      </w:r>
      <w:r>
        <w:rPr>
          <w:szCs w:val="32"/>
        </w:rPr>
        <w:br w:type="page"/>
      </w:r>
    </w:p>
    <w:p w14:paraId="2365356B">
      <w:pPr>
        <w:pStyle w:val="2"/>
        <w:rPr>
          <w:sz w:val="44"/>
          <w:szCs w:val="44"/>
        </w:rPr>
      </w:pPr>
      <w:bookmarkStart w:id="13" w:name="_Toc167808154"/>
      <w:bookmarkStart w:id="14" w:name="_Toc185511166"/>
      <w:r>
        <w:rPr>
          <w:sz w:val="44"/>
          <w:szCs w:val="44"/>
        </w:rPr>
        <w:t xml:space="preserve">3. </w:t>
      </w:r>
      <w:bookmarkEnd w:id="13"/>
      <w:r>
        <w:rPr>
          <w:rFonts w:hint="eastAsia"/>
          <w:sz w:val="44"/>
          <w:szCs w:val="44"/>
        </w:rPr>
        <w:t>使用</w:t>
      </w:r>
      <w:bookmarkEnd w:id="14"/>
    </w:p>
    <w:p w14:paraId="7CBF01D7">
      <w:pPr>
        <w:pStyle w:val="3"/>
      </w:pPr>
      <w:r>
        <w:t xml:space="preserve"> </w:t>
      </w:r>
      <w:bookmarkStart w:id="15" w:name="_Toc167808155"/>
      <w:bookmarkStart w:id="16" w:name="_Toc185511167"/>
      <w:r>
        <w:t xml:space="preserve">3.1 </w:t>
      </w:r>
      <w:bookmarkEnd w:id="15"/>
      <w:r>
        <w:rPr>
          <w:rFonts w:hint="eastAsia"/>
        </w:rPr>
        <w:t>软件启动</w:t>
      </w:r>
      <w:bookmarkEnd w:id="16"/>
    </w:p>
    <w:p w14:paraId="46B6893F">
      <w:pPr>
        <w:ind w:left="320" w:leftChars="100"/>
        <w:rPr>
          <w:szCs w:val="32"/>
        </w:rPr>
      </w:pPr>
      <w:r>
        <w:rPr>
          <w:rFonts w:hint="eastAsia"/>
          <w:szCs w:val="32"/>
        </w:rPr>
        <w:t>在桌面快捷方式中双击“</w:t>
      </w:r>
      <w:r>
        <w:rPr>
          <w:szCs w:val="32"/>
        </w:rPr>
        <w:t>APS_</w:t>
      </w:r>
      <w:r>
        <w:rPr>
          <w:rFonts w:hint="eastAsia"/>
          <w:szCs w:val="32"/>
        </w:rPr>
        <w:t>Client</w:t>
      </w:r>
      <w:r>
        <w:rPr>
          <w:szCs w:val="32"/>
        </w:rPr>
        <w:t>”启动，界面如下。</w:t>
      </w:r>
    </w:p>
    <w:p w14:paraId="63BBFE57">
      <w:pPr>
        <w:ind w:firstLine="420"/>
      </w:pPr>
      <w:r>
        <w:drawing>
          <wp:inline distT="0" distB="0" distL="114300" distR="114300">
            <wp:extent cx="6515100" cy="4029075"/>
            <wp:effectExtent l="0" t="0" r="0" b="952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3E19423F">
      <w:pPr>
        <w:ind w:firstLine="420"/>
      </w:pPr>
    </w:p>
    <w:p w14:paraId="6A0F4147">
      <w:pPr>
        <w:ind w:left="320" w:leftChars="100"/>
      </w:pPr>
      <w:r>
        <w:br w:type="page"/>
      </w:r>
    </w:p>
    <w:p w14:paraId="66482B30">
      <w:pPr>
        <w:pStyle w:val="3"/>
      </w:pPr>
      <w:r>
        <w:t xml:space="preserve"> </w:t>
      </w:r>
      <w:bookmarkStart w:id="17" w:name="_Toc185511168"/>
      <w:r>
        <w:t xml:space="preserve">3.2 </w:t>
      </w:r>
      <w:r>
        <w:rPr>
          <w:rFonts w:hint="eastAsia"/>
        </w:rPr>
        <w:t>解压资产压缩包</w:t>
      </w:r>
      <w:bookmarkEnd w:id="17"/>
    </w:p>
    <w:p w14:paraId="79ADCDF0">
      <w:pPr>
        <w:ind w:left="320" w:leftChars="100"/>
      </w:pPr>
      <w:r>
        <w:rPr>
          <w:szCs w:val="32"/>
        </w:rPr>
        <w:t>3.2.1 选择全部解压</w:t>
      </w:r>
    </w:p>
    <w:p w14:paraId="1BC279E9">
      <w:pPr>
        <w:ind w:left="320" w:leftChars="100" w:firstLine="420"/>
        <w:rPr>
          <w:sz w:val="22"/>
          <w:szCs w:val="22"/>
        </w:rPr>
      </w:pPr>
      <w:r>
        <w:drawing>
          <wp:inline distT="0" distB="0" distL="114300" distR="114300">
            <wp:extent cx="4716145" cy="4189095"/>
            <wp:effectExtent l="9525" t="9525" r="17780" b="1143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16145" cy="41890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CB8DBB">
      <w:pPr>
        <w:ind w:left="320" w:leftChars="100"/>
      </w:pPr>
      <w:r>
        <w:rPr>
          <w:szCs w:val="32"/>
        </w:rPr>
        <w:t>3.2.1 解压后</w:t>
      </w:r>
      <w:r>
        <w:rPr>
          <w:rFonts w:hint="eastAsia"/>
          <w:szCs w:val="32"/>
        </w:rPr>
        <w:t>生成</w:t>
      </w:r>
      <w:r>
        <w:rPr>
          <w:szCs w:val="32"/>
        </w:rPr>
        <w:t>资产和许可文件夹</w:t>
      </w:r>
    </w:p>
    <w:p w14:paraId="3208E73F">
      <w:pPr>
        <w:ind w:left="320" w:leftChars="100" w:firstLine="420"/>
        <w:rPr>
          <w:sz w:val="22"/>
          <w:szCs w:val="22"/>
        </w:rPr>
      </w:pPr>
      <w:r>
        <w:drawing>
          <wp:inline distT="0" distB="0" distL="114300" distR="114300">
            <wp:extent cx="4751705" cy="2952750"/>
            <wp:effectExtent l="9525" t="9525" r="20320" b="952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51705" cy="2952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9C2B17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42DC49B">
      <w:pPr>
        <w:ind w:left="320" w:leftChars="100" w:firstLine="420"/>
        <w:rPr>
          <w:sz w:val="22"/>
          <w:szCs w:val="22"/>
        </w:rPr>
      </w:pPr>
    </w:p>
    <w:p w14:paraId="1ADC5171">
      <w:pPr>
        <w:pStyle w:val="3"/>
      </w:pPr>
      <w:r>
        <w:t xml:space="preserve"> </w:t>
      </w:r>
      <w:bookmarkStart w:id="18" w:name="_Toc185511169"/>
      <w:r>
        <w:t xml:space="preserve">3.3 </w:t>
      </w:r>
      <w:r>
        <w:rPr>
          <w:rFonts w:hint="eastAsia"/>
        </w:rPr>
        <w:t>操作资产</w:t>
      </w:r>
      <w:bookmarkEnd w:id="18"/>
    </w:p>
    <w:p w14:paraId="112D1B85">
      <w:pPr>
        <w:ind w:left="320" w:leftChars="100"/>
        <w:rPr>
          <w:szCs w:val="32"/>
        </w:rPr>
      </w:pPr>
      <w:r>
        <w:rPr>
          <w:szCs w:val="32"/>
        </w:rPr>
        <w:t xml:space="preserve">3.3.1 </w:t>
      </w:r>
      <w:r>
        <w:rPr>
          <w:rFonts w:hint="eastAsia"/>
          <w:szCs w:val="32"/>
        </w:rPr>
        <w:t>单击“资产操作”</w:t>
      </w:r>
    </w:p>
    <w:p w14:paraId="0A856B07">
      <w:pPr>
        <w:ind w:left="320" w:leftChars="100"/>
        <w:rPr>
          <w:szCs w:val="32"/>
        </w:rPr>
      </w:pPr>
      <w:r>
        <w:drawing>
          <wp:inline distT="0" distB="0" distL="114300" distR="114300">
            <wp:extent cx="6515100" cy="4029075"/>
            <wp:effectExtent l="0" t="0" r="0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79760">
      <w:pPr>
        <w:ind w:left="320" w:leftChars="100"/>
        <w:rPr>
          <w:szCs w:val="32"/>
        </w:rPr>
      </w:pPr>
      <w:r>
        <w:rPr>
          <w:szCs w:val="32"/>
        </w:rPr>
        <w:t xml:space="preserve">3.3.2 </w:t>
      </w:r>
      <w:r>
        <w:rPr>
          <w:rFonts w:hint="eastAsia"/>
          <w:szCs w:val="32"/>
        </w:rPr>
        <w:t>单击“浏览”按钮选择资产</w:t>
      </w:r>
    </w:p>
    <w:p w14:paraId="102721AF">
      <w:pPr>
        <w:ind w:left="320" w:leftChars="100"/>
        <w:rPr>
          <w:szCs w:val="32"/>
        </w:rPr>
      </w:pPr>
      <w:r>
        <w:drawing>
          <wp:inline distT="0" distB="0" distL="114300" distR="114300">
            <wp:extent cx="6524625" cy="4038600"/>
            <wp:effectExtent l="0" t="0" r="9525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3E7F4">
      <w:pPr>
        <w:ind w:left="320" w:left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注意：</w:t>
      </w:r>
      <w:r>
        <w:rPr>
          <w:rFonts w:hint="eastAsia"/>
          <w:color w:val="FF0000"/>
          <w:sz w:val="28"/>
          <w:szCs w:val="28"/>
        </w:rPr>
        <w:t>选择许可文件所在的路径</w:t>
      </w:r>
      <w:r>
        <w:rPr>
          <w:rFonts w:hint="eastAsia"/>
          <w:sz w:val="28"/>
          <w:szCs w:val="28"/>
        </w:rPr>
        <w:t>。</w:t>
      </w:r>
    </w:p>
    <w:p w14:paraId="70264A03">
      <w:pPr>
        <w:ind w:left="320" w:leftChars="100"/>
        <w:rPr>
          <w:szCs w:val="32"/>
        </w:rPr>
      </w:pPr>
      <w:r>
        <w:rPr>
          <w:szCs w:val="32"/>
        </w:rPr>
        <w:t xml:space="preserve">3.3.3 </w:t>
      </w:r>
      <w:r>
        <w:rPr>
          <w:rFonts w:hint="eastAsia"/>
          <w:szCs w:val="32"/>
        </w:rPr>
        <w:t>点击</w:t>
      </w:r>
      <w:r>
        <w:rPr>
          <w:szCs w:val="32"/>
        </w:rPr>
        <w:t xml:space="preserve"> “</w:t>
      </w:r>
      <w:r>
        <w:rPr>
          <w:rFonts w:hint="eastAsia"/>
          <w:szCs w:val="32"/>
        </w:rPr>
        <w:t>打开保护</w:t>
      </w:r>
      <w:r>
        <w:rPr>
          <w:szCs w:val="32"/>
        </w:rPr>
        <w:t xml:space="preserve">” </w:t>
      </w:r>
      <w:r>
        <w:rPr>
          <w:rFonts w:hint="eastAsia"/>
          <w:szCs w:val="32"/>
        </w:rPr>
        <w:t>按钮</w:t>
      </w:r>
    </w:p>
    <w:p w14:paraId="07F25525">
      <w:pPr>
        <w:ind w:left="320" w:leftChars="100"/>
        <w:rPr>
          <w:szCs w:val="32"/>
        </w:rPr>
      </w:pPr>
      <w:r>
        <w:drawing>
          <wp:inline distT="0" distB="0" distL="114300" distR="114300">
            <wp:extent cx="6524625" cy="4029075"/>
            <wp:effectExtent l="0" t="0" r="9525" b="952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93040">
      <w:pPr>
        <w:ind w:left="320" w:leftChars="100"/>
        <w:rPr>
          <w:szCs w:val="32"/>
        </w:rPr>
      </w:pPr>
      <w:r>
        <w:drawing>
          <wp:inline distT="0" distB="0" distL="114300" distR="114300">
            <wp:extent cx="6543675" cy="4038600"/>
            <wp:effectExtent l="0" t="0" r="9525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CEFDA">
      <w:pPr>
        <w:rPr>
          <w:szCs w:val="32"/>
        </w:rPr>
      </w:pPr>
      <w:r>
        <w:rPr>
          <w:szCs w:val="32"/>
        </w:rPr>
        <w:br w:type="page"/>
      </w:r>
    </w:p>
    <w:p w14:paraId="090A478E">
      <w:pPr>
        <w:pStyle w:val="3"/>
      </w:pPr>
      <w:bookmarkStart w:id="19" w:name="_Hlk185498891"/>
      <w:r>
        <w:t xml:space="preserve"> </w:t>
      </w:r>
      <w:bookmarkStart w:id="20" w:name="_Toc185511170"/>
      <w:r>
        <w:t>3</w:t>
      </w:r>
      <w:bookmarkEnd w:id="19"/>
      <w:r>
        <w:t xml:space="preserve">.4 </w:t>
      </w:r>
      <w:r>
        <w:rPr>
          <w:rFonts w:hint="eastAsia"/>
        </w:rPr>
        <w:t>许可信息</w:t>
      </w:r>
      <w:bookmarkEnd w:id="20"/>
    </w:p>
    <w:p w14:paraId="6A67BF64">
      <w:pPr>
        <w:ind w:left="320" w:leftChars="100"/>
      </w:pPr>
      <w:r>
        <w:rPr>
          <w:rFonts w:hint="eastAsia"/>
          <w:szCs w:val="32"/>
        </w:rPr>
        <w:t>单击“许可信息” 以查看资产许可信息包括许可时间、许可状态、版本信息等。</w:t>
      </w:r>
    </w:p>
    <w:p w14:paraId="292650FF">
      <w:pPr>
        <w:ind w:left="320" w:leftChars="100"/>
        <w:rPr>
          <w:szCs w:val="32"/>
        </w:rPr>
      </w:pPr>
      <w:r>
        <w:drawing>
          <wp:inline distT="0" distB="0" distL="114300" distR="114300">
            <wp:extent cx="6480175" cy="3994785"/>
            <wp:effectExtent l="0" t="0" r="15875" b="571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E0F2B">
      <w:pPr>
        <w:rPr>
          <w:szCs w:val="32"/>
        </w:rPr>
      </w:pPr>
      <w:r>
        <w:rPr>
          <w:szCs w:val="32"/>
        </w:rPr>
        <w:br w:type="page"/>
      </w:r>
    </w:p>
    <w:p w14:paraId="5698B7DE">
      <w:pPr>
        <w:pStyle w:val="3"/>
      </w:pPr>
      <w:bookmarkStart w:id="21" w:name="_Toc29189"/>
      <w:bookmarkStart w:id="22" w:name="_Toc183079424"/>
      <w:r>
        <w:t xml:space="preserve"> </w:t>
      </w:r>
      <w:bookmarkStart w:id="23" w:name="_Toc185511171"/>
      <w:r>
        <w:t>3.</w:t>
      </w:r>
      <w:r>
        <w:rPr>
          <w:rFonts w:hint="eastAsia"/>
        </w:rPr>
        <w:t>5</w:t>
      </w:r>
      <w:r>
        <w:t xml:space="preserve"> </w:t>
      </w:r>
      <w:bookmarkEnd w:id="21"/>
      <w:bookmarkEnd w:id="22"/>
      <w:r>
        <w:rPr>
          <w:rFonts w:hint="eastAsia"/>
        </w:rPr>
        <w:t>设置软件语言</w:t>
      </w:r>
      <w:bookmarkEnd w:id="23"/>
    </w:p>
    <w:p w14:paraId="3BD291EC">
      <w:pPr>
        <w:ind w:left="320" w:leftChars="100"/>
        <w:rPr>
          <w:szCs w:val="32"/>
        </w:rPr>
      </w:pPr>
      <w:r>
        <w:rPr>
          <w:rFonts w:hint="eastAsia"/>
          <w:szCs w:val="32"/>
        </w:rPr>
        <w:t>点击“软件设置”，选择所需的语言，然后保存并重新启动软件。</w:t>
      </w:r>
    </w:p>
    <w:p w14:paraId="1834CF26">
      <w:pPr>
        <w:ind w:firstLine="420"/>
        <w:rPr>
          <w:szCs w:val="32"/>
        </w:rPr>
      </w:pPr>
      <w:r>
        <w:drawing>
          <wp:inline distT="0" distB="0" distL="114300" distR="114300">
            <wp:extent cx="6597650" cy="4066540"/>
            <wp:effectExtent l="0" t="0" r="0" b="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15087" cy="407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B9210">
      <w:pPr>
        <w:rPr>
          <w:szCs w:val="32"/>
        </w:rPr>
      </w:pPr>
      <w:r>
        <w:rPr>
          <w:szCs w:val="32"/>
        </w:rPr>
        <w:br w:type="page"/>
      </w:r>
    </w:p>
    <w:p w14:paraId="1A1F3E91">
      <w:pPr>
        <w:pStyle w:val="3"/>
      </w:pPr>
      <w:r>
        <w:t xml:space="preserve"> </w:t>
      </w:r>
      <w:bookmarkStart w:id="24" w:name="_Toc183079425"/>
      <w:bookmarkStart w:id="25" w:name="_Toc185511172"/>
      <w:r>
        <w:t>3.</w:t>
      </w:r>
      <w:r>
        <w:rPr>
          <w:rFonts w:hint="eastAsia"/>
        </w:rPr>
        <w:t>6</w:t>
      </w:r>
      <w:r>
        <w:t xml:space="preserve"> </w:t>
      </w:r>
      <w:bookmarkEnd w:id="24"/>
      <w:r>
        <w:rPr>
          <w:rFonts w:hint="eastAsia"/>
        </w:rPr>
        <w:t>局域网多渲染节点控制</w:t>
      </w:r>
      <w:bookmarkEnd w:id="25"/>
    </w:p>
    <w:p w14:paraId="3BAFF07B">
      <w:pPr>
        <w:snapToGrid w:val="0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通过在局域网（LAN）中实现多渲染节点资产保护的开启和关闭，无需在每台机器上执行开启/关闭保护。</w:t>
      </w:r>
    </w:p>
    <w:p w14:paraId="67A9742D">
      <w:pPr>
        <w:snapToGrid w:val="0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主机角色可以一键执行开启或关闭命令，整个局域网(LAN)中所有设备，主机，从机以及本机都会收到命令并执行。</w:t>
      </w:r>
    </w:p>
    <w:p w14:paraId="6ADAC5DA">
      <w:pPr>
        <w:snapToGrid w:val="0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从机只有接收命令，不能主动发出控制命令。</w:t>
      </w:r>
    </w:p>
    <w:p w14:paraId="65E51E6D">
      <w:pPr>
        <w:snapToGrid w:val="0"/>
        <w:spacing w:after="100"/>
        <w:ind w:firstLine="640" w:firstLineChars="200"/>
        <w:rPr>
          <w:szCs w:val="32"/>
        </w:rPr>
      </w:pPr>
    </w:p>
    <w:p w14:paraId="21CD1A89">
      <w:pPr>
        <w:snapToGrid w:val="0"/>
        <w:spacing w:after="100"/>
        <w:ind w:left="320" w:leftChars="100"/>
        <w:rPr>
          <w:szCs w:val="32"/>
        </w:rPr>
      </w:pPr>
      <w:r>
        <w:rPr>
          <w:szCs w:val="32"/>
        </w:rPr>
        <w:t>3.6.1</w:t>
      </w:r>
      <w:r>
        <w:rPr>
          <w:rFonts w:hint="eastAsia"/>
          <w:szCs w:val="32"/>
        </w:rPr>
        <w:t>在任意一个渲染节点（包括主控节点）的</w:t>
      </w:r>
      <w:r>
        <w:rPr>
          <w:szCs w:val="32"/>
        </w:rPr>
        <w:t>APS的托盘图标上右键点击.</w:t>
      </w:r>
    </w:p>
    <w:p w14:paraId="547FB290">
      <w:pPr>
        <w:ind w:left="320" w:leftChars="100" w:firstLine="420"/>
      </w:pPr>
      <w:r>
        <w:drawing>
          <wp:inline distT="0" distB="0" distL="114300" distR="114300">
            <wp:extent cx="2109470" cy="884555"/>
            <wp:effectExtent l="9525" t="9525" r="14605" b="2032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884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F23260">
      <w:pPr>
        <w:snapToGrid w:val="0"/>
        <w:spacing w:after="100"/>
        <w:ind w:left="320" w:leftChars="100"/>
        <w:rPr>
          <w:szCs w:val="32"/>
        </w:rPr>
      </w:pPr>
      <w:r>
        <w:rPr>
          <w:szCs w:val="32"/>
        </w:rPr>
        <w:t>3.6.2 点击“多设备管理”</w:t>
      </w:r>
    </w:p>
    <w:p w14:paraId="03837494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C143A">
      <w:pPr>
        <w:snapToGrid w:val="0"/>
        <w:spacing w:after="100"/>
        <w:ind w:left="320" w:leftChars="100"/>
        <w:rPr>
          <w:szCs w:val="32"/>
        </w:rPr>
      </w:pPr>
      <w:r>
        <w:rPr>
          <w:szCs w:val="32"/>
        </w:rPr>
        <w:t>3.6.3</w:t>
      </w:r>
      <w:r>
        <w:rPr>
          <w:rFonts w:hint="eastAsia"/>
          <w:szCs w:val="32"/>
        </w:rPr>
        <w:t>将“设备角色”设置为主机</w:t>
      </w:r>
    </w:p>
    <w:p w14:paraId="0140D356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82AB0">
      <w:pPr>
        <w:snapToGrid w:val="0"/>
        <w:spacing w:after="100"/>
        <w:ind w:left="320" w:leftChars="100"/>
        <w:rPr>
          <w:szCs w:val="32"/>
        </w:rPr>
      </w:pPr>
      <w:r>
        <w:rPr>
          <w:szCs w:val="32"/>
        </w:rPr>
        <w:t xml:space="preserve">3.6.4 </w:t>
      </w:r>
      <w:r>
        <w:rPr>
          <w:rFonts w:hint="eastAsia"/>
          <w:szCs w:val="32"/>
        </w:rPr>
        <w:t>点击</w:t>
      </w:r>
      <w:r>
        <w:rPr>
          <w:szCs w:val="32"/>
        </w:rPr>
        <w:t>“</w:t>
      </w:r>
      <w:r>
        <w:rPr>
          <w:rFonts w:hint="eastAsia"/>
          <w:szCs w:val="32"/>
        </w:rPr>
        <w:t>扫描设备</w:t>
      </w:r>
      <w:r>
        <w:rPr>
          <w:szCs w:val="32"/>
        </w:rPr>
        <w:t>”</w:t>
      </w:r>
    </w:p>
    <w:p w14:paraId="018A6E5F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8D59E">
      <w:pPr>
        <w:snapToGrid w:val="0"/>
        <w:spacing w:after="100"/>
        <w:ind w:left="320" w:leftChars="100"/>
        <w:rPr>
          <w:szCs w:val="32"/>
        </w:rPr>
      </w:pPr>
      <w:r>
        <w:rPr>
          <w:szCs w:val="32"/>
        </w:rPr>
        <w:t>3.6.5 一键启用设备保护</w:t>
      </w:r>
    </w:p>
    <w:p w14:paraId="6BE7D8D7">
      <w:pPr>
        <w:snapToGrid w:val="0"/>
        <w:spacing w:after="100"/>
        <w:ind w:left="320" w:leftChars="100"/>
        <w:rPr>
          <w:sz w:val="28"/>
          <w:szCs w:val="28"/>
        </w:rPr>
      </w:pPr>
      <w:r>
        <w:rPr>
          <w:rFonts w:hint="eastAsia"/>
          <w:sz w:val="28"/>
          <w:szCs w:val="28"/>
        </w:rPr>
        <w:t>先决条件：设备必须之前已经启用了该资产，并且必须能够有效支持它; 否则，将会失败。</w:t>
      </w:r>
    </w:p>
    <w:p w14:paraId="387693E9">
      <w:pPr>
        <w:pStyle w:val="48"/>
        <w:numPr>
          <w:ilvl w:val="0"/>
          <w:numId w:val="1"/>
        </w:numPr>
        <w:snapToGrid w:val="0"/>
        <w:ind w:left="480" w:leftChars="150" w:firstLine="0" w:firstLineChars="0"/>
        <w:rPr>
          <w:sz w:val="28"/>
          <w:szCs w:val="28"/>
        </w:rPr>
      </w:pPr>
      <w:r>
        <w:rPr>
          <w:sz w:val="28"/>
          <w:szCs w:val="28"/>
        </w:rPr>
        <w:t xml:space="preserve"> 点击“</w:t>
      </w:r>
      <w:r>
        <w:rPr>
          <w:rFonts w:hint="eastAsia"/>
          <w:sz w:val="28"/>
          <w:szCs w:val="28"/>
        </w:rPr>
        <w:t>一键开启”</w:t>
      </w:r>
    </w:p>
    <w:p w14:paraId="38152963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18958">
      <w:pPr>
        <w:pStyle w:val="48"/>
        <w:numPr>
          <w:ilvl w:val="0"/>
          <w:numId w:val="1"/>
        </w:numPr>
        <w:ind w:left="480" w:leftChars="15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等待一会儿，再次点击“扫描设备”。</w:t>
      </w:r>
    </w:p>
    <w:p w14:paraId="4D5EA84B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B2F58">
      <w:pPr>
        <w:snapToGrid w:val="0"/>
        <w:spacing w:after="100"/>
        <w:ind w:left="320" w:leftChars="100"/>
        <w:rPr>
          <w:szCs w:val="32"/>
        </w:rPr>
      </w:pPr>
      <w:r>
        <w:rPr>
          <w:rFonts w:hint="eastAsia"/>
          <w:szCs w:val="32"/>
        </w:rPr>
        <w:t>3.6.6</w:t>
      </w:r>
      <w:r>
        <w:rPr>
          <w:szCs w:val="32"/>
        </w:rPr>
        <w:t>一键禁用设备保护</w:t>
      </w:r>
    </w:p>
    <w:p w14:paraId="0204249B">
      <w:pPr>
        <w:pStyle w:val="48"/>
        <w:numPr>
          <w:ilvl w:val="0"/>
          <w:numId w:val="2"/>
        </w:numPr>
        <w:snapToGrid w:val="0"/>
        <w:ind w:left="480" w:leftChars="15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检查“全选”或者手动选择特定的设备</w:t>
      </w:r>
    </w:p>
    <w:p w14:paraId="73FCF56B">
      <w:pPr>
        <w:pStyle w:val="48"/>
        <w:numPr>
          <w:ilvl w:val="0"/>
          <w:numId w:val="2"/>
        </w:numPr>
        <w:snapToGrid w:val="0"/>
        <w:ind w:left="480" w:leftChars="15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点击“一键关闭“</w:t>
      </w:r>
    </w:p>
    <w:p w14:paraId="4A600308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12FBB">
      <w:pPr>
        <w:pStyle w:val="48"/>
        <w:numPr>
          <w:ilvl w:val="0"/>
          <w:numId w:val="2"/>
        </w:numPr>
        <w:snapToGrid w:val="0"/>
        <w:ind w:left="480" w:leftChars="15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等待一会儿，再次点击“扫描设备”。</w:t>
      </w:r>
    </w:p>
    <w:p w14:paraId="0B71135F">
      <w:pPr>
        <w:ind w:firstLine="420"/>
      </w:pPr>
      <w:r>
        <w:drawing>
          <wp:inline distT="0" distB="0" distL="114300" distR="114300">
            <wp:extent cx="6480175" cy="3199765"/>
            <wp:effectExtent l="0" t="0" r="15875" b="63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0CF59">
      <w:r>
        <w:br w:type="page"/>
      </w:r>
    </w:p>
    <w:p w14:paraId="161F46C7">
      <w:pPr>
        <w:pStyle w:val="2"/>
        <w:rPr>
          <w:sz w:val="44"/>
          <w:szCs w:val="44"/>
        </w:rPr>
      </w:pPr>
      <w:bookmarkStart w:id="26" w:name="_Toc167808158"/>
      <w:bookmarkStart w:id="27" w:name="_Toc185511173"/>
      <w:r>
        <w:rPr>
          <w:sz w:val="44"/>
          <w:szCs w:val="44"/>
        </w:rPr>
        <w:t xml:space="preserve">4. </w:t>
      </w:r>
      <w:bookmarkEnd w:id="26"/>
      <w:r>
        <w:rPr>
          <w:rFonts w:hint="eastAsia"/>
          <w:sz w:val="44"/>
          <w:szCs w:val="44"/>
        </w:rPr>
        <w:t>注意事项</w:t>
      </w:r>
      <w:bookmarkEnd w:id="27"/>
    </w:p>
    <w:p w14:paraId="48EAF1AC">
      <w:pPr>
        <w:pStyle w:val="3"/>
      </w:pPr>
      <w:r>
        <w:t xml:space="preserve"> </w:t>
      </w:r>
      <w:bookmarkStart w:id="28" w:name="_Toc167808159"/>
      <w:bookmarkStart w:id="29" w:name="_Toc185511174"/>
      <w:r>
        <w:t xml:space="preserve">4.1 </w:t>
      </w:r>
      <w:bookmarkEnd w:id="28"/>
      <w:r>
        <w:rPr>
          <w:rFonts w:hint="eastAsia"/>
        </w:rPr>
        <w:t>不支持资产盘热插拔</w:t>
      </w:r>
      <w:bookmarkEnd w:id="29"/>
    </w:p>
    <w:p w14:paraId="784621DB">
      <w:pPr>
        <w:ind w:left="320" w:leftChars="100"/>
      </w:pPr>
      <w:r>
        <w:rPr>
          <w:rFonts w:hint="eastAsia"/>
          <w:szCs w:val="32"/>
        </w:rPr>
        <w:t>资产盘使用过程中请勿拔插资产盘，请先关闭</w:t>
      </w:r>
      <w:r>
        <w:rPr>
          <w:szCs w:val="32"/>
        </w:rPr>
        <w:t>UE项目，然后关闭资产盘</w:t>
      </w:r>
      <w:r>
        <w:rPr>
          <w:rFonts w:hint="eastAsia"/>
          <w:szCs w:val="32"/>
        </w:rPr>
        <w:t>保护</w:t>
      </w:r>
      <w:r>
        <w:rPr>
          <w:szCs w:val="32"/>
        </w:rPr>
        <w:t>，最后安全弹出资产盘，如果无法关闭或打开资产盘</w:t>
      </w:r>
      <w:r>
        <w:rPr>
          <w:rFonts w:hint="eastAsia"/>
          <w:szCs w:val="32"/>
        </w:rPr>
        <w:t>保护</w:t>
      </w:r>
      <w:r>
        <w:rPr>
          <w:szCs w:val="32"/>
        </w:rPr>
        <w:t>，请重新启动计算机。</w:t>
      </w:r>
    </w:p>
    <w:p w14:paraId="358DCE9D">
      <w:pPr>
        <w:pStyle w:val="3"/>
      </w:pPr>
      <w:r>
        <w:t xml:space="preserve"> </w:t>
      </w:r>
      <w:bookmarkStart w:id="30" w:name="_Toc167808160"/>
      <w:bookmarkStart w:id="31" w:name="_Toc185511175"/>
      <w:r>
        <w:t xml:space="preserve">4.2 </w:t>
      </w:r>
      <w:bookmarkEnd w:id="30"/>
      <w:r>
        <w:rPr>
          <w:rFonts w:hint="eastAsia"/>
        </w:rPr>
        <w:t>nDisplay 配置文件</w:t>
      </w:r>
      <w:bookmarkEnd w:id="31"/>
    </w:p>
    <w:p w14:paraId="1C3C20D9">
      <w:pPr>
        <w:ind w:left="320" w:leftChars="100"/>
        <w:rPr>
          <w:szCs w:val="32"/>
        </w:rPr>
      </w:pPr>
      <w:r>
        <w:rPr>
          <w:szCs w:val="32"/>
        </w:rPr>
        <w:t>nDisplay的config文件</w:t>
      </w:r>
      <w:r>
        <w:rPr>
          <w:rFonts w:hint="eastAsia"/>
          <w:szCs w:val="32"/>
        </w:rPr>
        <w:t>需要使用明文，不然switchboard无法读取。</w:t>
      </w:r>
    </w:p>
    <w:p w14:paraId="49C4E712">
      <w:pPr>
        <w:pStyle w:val="3"/>
      </w:pPr>
      <w:r>
        <w:t xml:space="preserve"> </w:t>
      </w:r>
      <w:bookmarkStart w:id="32" w:name="_Toc167808161"/>
      <w:bookmarkStart w:id="33" w:name="_Toc185511176"/>
      <w:r>
        <w:t xml:space="preserve">4.3 </w:t>
      </w:r>
      <w:bookmarkEnd w:id="32"/>
      <w:r>
        <w:rPr>
          <w:rFonts w:hint="eastAsia"/>
        </w:rPr>
        <w:t>暂不支持资产在UE安装盘下</w:t>
      </w:r>
      <w:bookmarkEnd w:id="33"/>
      <w:r>
        <w:rPr>
          <w:rFonts w:hint="eastAsia"/>
        </w:rPr>
        <w:t>操作</w:t>
      </w:r>
    </w:p>
    <w:p w14:paraId="21E166E5">
      <w:pPr>
        <w:ind w:left="320" w:leftChars="100"/>
        <w:rPr>
          <w:szCs w:val="32"/>
        </w:rPr>
      </w:pPr>
    </w:p>
    <w:p w14:paraId="5F35325C">
      <w:pPr>
        <w:pStyle w:val="3"/>
      </w:pPr>
      <w:r>
        <w:t xml:space="preserve"> </w:t>
      </w:r>
      <w:bookmarkStart w:id="34" w:name="_Toc185511177"/>
      <w:r>
        <w:t>4.</w:t>
      </w:r>
      <w:r>
        <w:rPr>
          <w:rFonts w:hint="eastAsia"/>
        </w:rPr>
        <w:t>4</w:t>
      </w:r>
      <w:r>
        <w:t xml:space="preserve"> </w:t>
      </w:r>
      <w:r>
        <w:rPr>
          <w:rFonts w:hint="eastAsia"/>
        </w:rPr>
        <w:t>UE外部操作资产时请关闭保护</w:t>
      </w:r>
      <w:bookmarkEnd w:id="34"/>
    </w:p>
    <w:p w14:paraId="16D9E517">
      <w:pPr>
        <w:ind w:left="320" w:leftChars="100"/>
        <w:rPr>
          <w:szCs w:val="32"/>
        </w:rPr>
      </w:pPr>
      <w:r>
        <w:rPr>
          <w:rFonts w:hint="eastAsia"/>
          <w:szCs w:val="32"/>
        </w:rPr>
        <w:t>使用外部同步工具做文件同步时请关闭保护，剪切或拷贝加密资产时请关闭保护，否则资产无法被再次使用</w:t>
      </w:r>
      <w:r>
        <w:rPr>
          <w:szCs w:val="32"/>
        </w:rPr>
        <w:t>。</w:t>
      </w:r>
    </w:p>
    <w:p w14:paraId="40366BE3">
      <w:pPr>
        <w:pStyle w:val="3"/>
      </w:pPr>
      <w:r>
        <w:t xml:space="preserve"> </w:t>
      </w:r>
      <w:bookmarkStart w:id="35" w:name="_Toc185511178"/>
      <w:r>
        <w:t>4.</w:t>
      </w:r>
      <w:r>
        <w:rPr>
          <w:rFonts w:hint="eastAsia"/>
        </w:rPr>
        <w:t>5</w:t>
      </w:r>
      <w:r>
        <w:t xml:space="preserve"> </w:t>
      </w:r>
      <w:r>
        <w:rPr>
          <w:rFonts w:hint="eastAsia"/>
        </w:rPr>
        <w:t>资产保护软件导致蓝屏后处理方案</w:t>
      </w:r>
      <w:bookmarkEnd w:id="35"/>
    </w:p>
    <w:p w14:paraId="02D5B6B7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如在使用资产保护软件时Windows蓝屏可将错误日志dump文件发给提供商，协助用户解决蓝屏问题，并OTA推送新版本。</w:t>
      </w:r>
    </w:p>
    <w:p w14:paraId="5BCF3663">
      <w:pPr>
        <w:ind w:firstLine="640" w:firstLineChars="200"/>
        <w:rPr>
          <w:szCs w:val="32"/>
        </w:rPr>
      </w:pPr>
    </w:p>
    <w:p w14:paraId="37665EBE">
      <w:pPr>
        <w:ind w:left="320" w:leftChars="100"/>
        <w:rPr>
          <w:szCs w:val="32"/>
        </w:rPr>
      </w:pPr>
      <w:r>
        <w:rPr>
          <w:rFonts w:hint="eastAsia"/>
          <w:szCs w:val="32"/>
        </w:rPr>
        <w:t xml:space="preserve">4.5.1开始菜单&gt;设置&gt; 系统&gt;左边导航栏下拉至最底并点击“关于“&gt;点击右边内容区域中的“高级系统设置” </w:t>
      </w:r>
    </w:p>
    <w:p w14:paraId="6D4D6348">
      <w:pPr>
        <w:ind w:left="80" w:leftChars="25" w:firstLine="420"/>
        <w:rPr>
          <w:szCs w:val="32"/>
        </w:rPr>
      </w:pPr>
      <w:r>
        <w:rPr>
          <w:rFonts w:ascii="宋体" w:hAnsi="宋体" w:eastAsia="宋体" w:cs="宋体"/>
          <w:sz w:val="24"/>
          <w:szCs w:val="24"/>
          <w:lang w:bidi="ar"/>
        </w:rPr>
        <w:drawing>
          <wp:inline distT="0" distB="0" distL="114300" distR="114300">
            <wp:extent cx="5267325" cy="3105150"/>
            <wp:effectExtent l="0" t="0" r="9525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E6AD34">
      <w:pPr>
        <w:ind w:left="320" w:leftChars="100"/>
        <w:rPr>
          <w:szCs w:val="32"/>
        </w:rPr>
      </w:pPr>
      <w:r>
        <w:rPr>
          <w:rFonts w:hint="eastAsia"/>
          <w:szCs w:val="32"/>
        </w:rPr>
        <w:t>4.5.2</w:t>
      </w:r>
      <w:r>
        <w:rPr>
          <w:szCs w:val="32"/>
        </w:rPr>
        <w:t>找到转储文件位置：</w:t>
      </w:r>
    </w:p>
    <w:p w14:paraId="488F7B08">
      <w:pPr>
        <w:ind w:left="320" w:leftChars="100"/>
        <w:rPr>
          <w:sz w:val="28"/>
          <w:szCs w:val="28"/>
        </w:rPr>
      </w:pPr>
      <w:r>
        <w:rPr>
          <w:sz w:val="28"/>
          <w:szCs w:val="28"/>
        </w:rPr>
        <w:t>%SystemRoot%表示系统根目录，通常是：C:\Windows，所以上述的dump文件路径是：C:\Windows\MEMORY.DMP</w:t>
      </w:r>
      <w:r>
        <w:rPr>
          <w:sz w:val="28"/>
          <w:szCs w:val="28"/>
        </w:rPr>
        <w:tab/>
      </w:r>
      <w:r>
        <w:rPr>
          <w:sz w:val="28"/>
          <w:szCs w:val="28"/>
        </w:rPr>
        <w:t>（每次产生新的dump文件会覆盖之前的）</w:t>
      </w:r>
    </w:p>
    <w:p w14:paraId="436FC543">
      <w:pPr>
        <w:ind w:left="80" w:leftChars="25" w:firstLine="420"/>
        <w:rPr>
          <w:rFonts w:ascii="宋体" w:hAnsi="宋体" w:eastAsia="宋体" w:cs="宋体"/>
          <w:sz w:val="24"/>
          <w:szCs w:val="24"/>
          <w:lang w:bidi="ar"/>
        </w:rPr>
      </w:pPr>
      <w:r>
        <w:rPr>
          <w:rFonts w:ascii="宋体" w:hAnsi="宋体" w:eastAsia="宋体" w:cs="宋体"/>
          <w:sz w:val="24"/>
          <w:szCs w:val="24"/>
          <w:lang w:bidi="ar"/>
        </w:rPr>
        <w:drawing>
          <wp:inline distT="0" distB="0" distL="114300" distR="114300">
            <wp:extent cx="5276850" cy="3800475"/>
            <wp:effectExtent l="0" t="0" r="0" b="9525"/>
            <wp:docPr id="32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EF6FA3">
      <w:pPr>
        <w:ind w:left="400" w:firstLine="420"/>
        <w:rPr>
          <w:rFonts w:ascii="宋体" w:hAnsi="宋体" w:eastAsia="宋体" w:cs="宋体"/>
          <w:sz w:val="24"/>
          <w:szCs w:val="24"/>
          <w:lang w:bidi="ar"/>
        </w:rPr>
      </w:pPr>
    </w:p>
    <w:p w14:paraId="499A80F4">
      <w:pPr>
        <w:ind w:left="320" w:leftChars="100"/>
        <w:rPr>
          <w:szCs w:val="32"/>
        </w:rPr>
      </w:pPr>
      <w:r>
        <w:rPr>
          <w:rFonts w:hint="eastAsia"/>
          <w:szCs w:val="32"/>
        </w:rPr>
        <w:t>4.5.3</w:t>
      </w:r>
      <w:r>
        <w:rPr>
          <w:szCs w:val="32"/>
        </w:rPr>
        <w:t>如果是设置的是“自动内存转储”或“小内存转储”，在C:\Windows\Minidump\目录下会生成</w:t>
      </w:r>
      <w:r>
        <w:rPr>
          <w:rFonts w:hint="eastAsia"/>
          <w:szCs w:val="32"/>
        </w:rPr>
        <w:t>带有时间戳的</w:t>
      </w:r>
      <w:r>
        <w:rPr>
          <w:szCs w:val="32"/>
        </w:rPr>
        <w:t>minidump文件</w:t>
      </w:r>
      <w:r>
        <w:rPr>
          <w:rFonts w:hint="eastAsia"/>
          <w:szCs w:val="32"/>
        </w:rPr>
        <w:t>。</w:t>
      </w:r>
    </w:p>
    <w:p w14:paraId="4751E815">
      <w:pPr>
        <w:ind w:left="640" w:leftChars="200"/>
        <w:rPr>
          <w:szCs w:val="32"/>
        </w:rPr>
      </w:pPr>
    </w:p>
    <w:p w14:paraId="2C41467F">
      <w:pPr>
        <w:rPr>
          <w:rFonts w:ascii="宋体" w:hAnsi="宋体" w:eastAsia="宋体" w:cs="宋体"/>
          <w:sz w:val="24"/>
          <w:szCs w:val="24"/>
        </w:rPr>
      </w:pPr>
      <w:r>
        <w:t xml:space="preserve">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0" distR="0">
            <wp:extent cx="6400800" cy="1951990"/>
            <wp:effectExtent l="0" t="0" r="0" b="0"/>
            <wp:docPr id="17538391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839182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238" w:right="244" w:bottom="249" w:left="23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5092EC1"/>
    <w:multiLevelType w:val="multilevel"/>
    <w:tmpl w:val="45092EC1"/>
    <w:lvl w:ilvl="0" w:tentative="0">
      <w:start w:val="1"/>
      <w:numFmt w:val="decimalEnclosedCircle"/>
      <w:lvlText w:val="%1"/>
      <w:lvlJc w:val="left"/>
      <w:pPr>
        <w:ind w:left="927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47" w:hanging="440"/>
      </w:pPr>
    </w:lvl>
    <w:lvl w:ilvl="2" w:tentative="0">
      <w:start w:val="1"/>
      <w:numFmt w:val="lowerRoman"/>
      <w:lvlText w:val="%3."/>
      <w:lvlJc w:val="right"/>
      <w:pPr>
        <w:ind w:left="1887" w:hanging="440"/>
      </w:pPr>
    </w:lvl>
    <w:lvl w:ilvl="3" w:tentative="0">
      <w:start w:val="1"/>
      <w:numFmt w:val="decimal"/>
      <w:lvlText w:val="%4."/>
      <w:lvlJc w:val="left"/>
      <w:pPr>
        <w:ind w:left="2327" w:hanging="440"/>
      </w:pPr>
    </w:lvl>
    <w:lvl w:ilvl="4" w:tentative="0">
      <w:start w:val="1"/>
      <w:numFmt w:val="lowerLetter"/>
      <w:lvlText w:val="%5)"/>
      <w:lvlJc w:val="left"/>
      <w:pPr>
        <w:ind w:left="2767" w:hanging="440"/>
      </w:pPr>
    </w:lvl>
    <w:lvl w:ilvl="5" w:tentative="0">
      <w:start w:val="1"/>
      <w:numFmt w:val="lowerRoman"/>
      <w:lvlText w:val="%6."/>
      <w:lvlJc w:val="right"/>
      <w:pPr>
        <w:ind w:left="3207" w:hanging="440"/>
      </w:pPr>
    </w:lvl>
    <w:lvl w:ilvl="6" w:tentative="0">
      <w:start w:val="1"/>
      <w:numFmt w:val="decimal"/>
      <w:lvlText w:val="%7."/>
      <w:lvlJc w:val="left"/>
      <w:pPr>
        <w:ind w:left="3647" w:hanging="440"/>
      </w:pPr>
    </w:lvl>
    <w:lvl w:ilvl="7" w:tentative="0">
      <w:start w:val="1"/>
      <w:numFmt w:val="lowerLetter"/>
      <w:lvlText w:val="%8)"/>
      <w:lvlJc w:val="left"/>
      <w:pPr>
        <w:ind w:left="4087" w:hanging="440"/>
      </w:pPr>
    </w:lvl>
    <w:lvl w:ilvl="8" w:tentative="0">
      <w:start w:val="1"/>
      <w:numFmt w:val="lowerRoman"/>
      <w:lvlText w:val="%9."/>
      <w:lvlJc w:val="right"/>
      <w:pPr>
        <w:ind w:left="4527" w:hanging="440"/>
      </w:pPr>
    </w:lvl>
  </w:abstractNum>
  <w:abstractNum w:abstractNumId="1">
    <w:nsid w:val="465273C3"/>
    <w:multiLevelType w:val="multilevel"/>
    <w:tmpl w:val="465273C3"/>
    <w:lvl w:ilvl="0" w:tentative="0">
      <w:start w:val="1"/>
      <w:numFmt w:val="decimalEnclosedCircle"/>
      <w:lvlText w:val="%1"/>
      <w:lvlJc w:val="left"/>
      <w:pPr>
        <w:ind w:left="927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47" w:hanging="440"/>
      </w:pPr>
    </w:lvl>
    <w:lvl w:ilvl="2" w:tentative="0">
      <w:start w:val="1"/>
      <w:numFmt w:val="lowerRoman"/>
      <w:lvlText w:val="%3."/>
      <w:lvlJc w:val="right"/>
      <w:pPr>
        <w:ind w:left="1887" w:hanging="440"/>
      </w:pPr>
    </w:lvl>
    <w:lvl w:ilvl="3" w:tentative="0">
      <w:start w:val="1"/>
      <w:numFmt w:val="decimal"/>
      <w:lvlText w:val="%4."/>
      <w:lvlJc w:val="left"/>
      <w:pPr>
        <w:ind w:left="2327" w:hanging="440"/>
      </w:pPr>
    </w:lvl>
    <w:lvl w:ilvl="4" w:tentative="0">
      <w:start w:val="1"/>
      <w:numFmt w:val="lowerLetter"/>
      <w:lvlText w:val="%5)"/>
      <w:lvlJc w:val="left"/>
      <w:pPr>
        <w:ind w:left="2767" w:hanging="440"/>
      </w:pPr>
    </w:lvl>
    <w:lvl w:ilvl="5" w:tentative="0">
      <w:start w:val="1"/>
      <w:numFmt w:val="lowerRoman"/>
      <w:lvlText w:val="%6."/>
      <w:lvlJc w:val="right"/>
      <w:pPr>
        <w:ind w:left="3207" w:hanging="440"/>
      </w:pPr>
    </w:lvl>
    <w:lvl w:ilvl="6" w:tentative="0">
      <w:start w:val="1"/>
      <w:numFmt w:val="decimal"/>
      <w:lvlText w:val="%7."/>
      <w:lvlJc w:val="left"/>
      <w:pPr>
        <w:ind w:left="3647" w:hanging="440"/>
      </w:pPr>
    </w:lvl>
    <w:lvl w:ilvl="7" w:tentative="0">
      <w:start w:val="1"/>
      <w:numFmt w:val="lowerLetter"/>
      <w:lvlText w:val="%8)"/>
      <w:lvlJc w:val="left"/>
      <w:pPr>
        <w:ind w:left="4087" w:hanging="440"/>
      </w:pPr>
    </w:lvl>
    <w:lvl w:ilvl="8" w:tentative="0">
      <w:start w:val="1"/>
      <w:numFmt w:val="lowerRoman"/>
      <w:lvlText w:val="%9."/>
      <w:lvlJc w:val="right"/>
      <w:pPr>
        <w:ind w:left="4527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noPunctuationKerning w:val="1"/>
  <w:characterSpacingControl w:val="doNotCompress"/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0AA"/>
    <w:rsid w:val="00007A2F"/>
    <w:rsid w:val="00020E22"/>
    <w:rsid w:val="0003705D"/>
    <w:rsid w:val="00042B5A"/>
    <w:rsid w:val="00046406"/>
    <w:rsid w:val="00046536"/>
    <w:rsid w:val="000522B4"/>
    <w:rsid w:val="00054C69"/>
    <w:rsid w:val="00057253"/>
    <w:rsid w:val="0006496B"/>
    <w:rsid w:val="00065583"/>
    <w:rsid w:val="000B01B3"/>
    <w:rsid w:val="000B4291"/>
    <w:rsid w:val="000B610D"/>
    <w:rsid w:val="000B6437"/>
    <w:rsid w:val="000B685C"/>
    <w:rsid w:val="000C18C3"/>
    <w:rsid w:val="000C2BDE"/>
    <w:rsid w:val="000C2F68"/>
    <w:rsid w:val="000E2F33"/>
    <w:rsid w:val="000E3D0C"/>
    <w:rsid w:val="000E4720"/>
    <w:rsid w:val="000F1C97"/>
    <w:rsid w:val="000F453C"/>
    <w:rsid w:val="000F5A2C"/>
    <w:rsid w:val="00104FA6"/>
    <w:rsid w:val="00106972"/>
    <w:rsid w:val="001071A0"/>
    <w:rsid w:val="00113C96"/>
    <w:rsid w:val="001259D2"/>
    <w:rsid w:val="001271BF"/>
    <w:rsid w:val="001310E3"/>
    <w:rsid w:val="00132005"/>
    <w:rsid w:val="00133C53"/>
    <w:rsid w:val="00162407"/>
    <w:rsid w:val="001933CC"/>
    <w:rsid w:val="00193865"/>
    <w:rsid w:val="00197913"/>
    <w:rsid w:val="001A07AA"/>
    <w:rsid w:val="001B2638"/>
    <w:rsid w:val="001B34DE"/>
    <w:rsid w:val="001B73F5"/>
    <w:rsid w:val="001C2B90"/>
    <w:rsid w:val="001C71D0"/>
    <w:rsid w:val="001D0647"/>
    <w:rsid w:val="001E2AA3"/>
    <w:rsid w:val="001F5FB2"/>
    <w:rsid w:val="00201101"/>
    <w:rsid w:val="00207FA3"/>
    <w:rsid w:val="0021201F"/>
    <w:rsid w:val="002138B2"/>
    <w:rsid w:val="00220523"/>
    <w:rsid w:val="00234D12"/>
    <w:rsid w:val="002374B1"/>
    <w:rsid w:val="00237F13"/>
    <w:rsid w:val="002578DD"/>
    <w:rsid w:val="0026133B"/>
    <w:rsid w:val="00262378"/>
    <w:rsid w:val="002668A4"/>
    <w:rsid w:val="00266B11"/>
    <w:rsid w:val="00274B5C"/>
    <w:rsid w:val="00277D6B"/>
    <w:rsid w:val="002901CA"/>
    <w:rsid w:val="002948E5"/>
    <w:rsid w:val="002A71BF"/>
    <w:rsid w:val="002B251E"/>
    <w:rsid w:val="002C37D5"/>
    <w:rsid w:val="002C4D03"/>
    <w:rsid w:val="002D309F"/>
    <w:rsid w:val="002E0633"/>
    <w:rsid w:val="002E079E"/>
    <w:rsid w:val="002E6658"/>
    <w:rsid w:val="00302E75"/>
    <w:rsid w:val="00316CD5"/>
    <w:rsid w:val="00336EDE"/>
    <w:rsid w:val="003420AA"/>
    <w:rsid w:val="00344CDC"/>
    <w:rsid w:val="00350B9F"/>
    <w:rsid w:val="0037296A"/>
    <w:rsid w:val="00374C3F"/>
    <w:rsid w:val="00374C43"/>
    <w:rsid w:val="00396D14"/>
    <w:rsid w:val="00397E58"/>
    <w:rsid w:val="003A51B9"/>
    <w:rsid w:val="003C1747"/>
    <w:rsid w:val="003D4588"/>
    <w:rsid w:val="003E019A"/>
    <w:rsid w:val="003E2A84"/>
    <w:rsid w:val="003E3104"/>
    <w:rsid w:val="003E48B6"/>
    <w:rsid w:val="003E681B"/>
    <w:rsid w:val="003E6C55"/>
    <w:rsid w:val="00404714"/>
    <w:rsid w:val="004074A8"/>
    <w:rsid w:val="00434B4B"/>
    <w:rsid w:val="004352C2"/>
    <w:rsid w:val="00440254"/>
    <w:rsid w:val="00445EE7"/>
    <w:rsid w:val="00457C55"/>
    <w:rsid w:val="004721B7"/>
    <w:rsid w:val="00476659"/>
    <w:rsid w:val="0048062C"/>
    <w:rsid w:val="00483608"/>
    <w:rsid w:val="00483AA0"/>
    <w:rsid w:val="004856F7"/>
    <w:rsid w:val="00487276"/>
    <w:rsid w:val="00490CE5"/>
    <w:rsid w:val="00491118"/>
    <w:rsid w:val="004A01A3"/>
    <w:rsid w:val="004A1489"/>
    <w:rsid w:val="004C3207"/>
    <w:rsid w:val="004C59B7"/>
    <w:rsid w:val="004E0715"/>
    <w:rsid w:val="004E53D2"/>
    <w:rsid w:val="004E54B0"/>
    <w:rsid w:val="004F5711"/>
    <w:rsid w:val="004F61B8"/>
    <w:rsid w:val="004F6D18"/>
    <w:rsid w:val="005007F9"/>
    <w:rsid w:val="00500ED8"/>
    <w:rsid w:val="00501259"/>
    <w:rsid w:val="00507675"/>
    <w:rsid w:val="00513989"/>
    <w:rsid w:val="005203FC"/>
    <w:rsid w:val="00522BCE"/>
    <w:rsid w:val="005325CE"/>
    <w:rsid w:val="00532B8C"/>
    <w:rsid w:val="00535B5B"/>
    <w:rsid w:val="005365D0"/>
    <w:rsid w:val="005401CA"/>
    <w:rsid w:val="00543C4D"/>
    <w:rsid w:val="00547F86"/>
    <w:rsid w:val="005513C9"/>
    <w:rsid w:val="005536ED"/>
    <w:rsid w:val="00554270"/>
    <w:rsid w:val="00554922"/>
    <w:rsid w:val="00565C50"/>
    <w:rsid w:val="00570C63"/>
    <w:rsid w:val="0057106B"/>
    <w:rsid w:val="00573D73"/>
    <w:rsid w:val="0059736A"/>
    <w:rsid w:val="005A67BC"/>
    <w:rsid w:val="005B04C8"/>
    <w:rsid w:val="005B1E07"/>
    <w:rsid w:val="005B2331"/>
    <w:rsid w:val="005B23B1"/>
    <w:rsid w:val="005B30FB"/>
    <w:rsid w:val="005C1507"/>
    <w:rsid w:val="005C323D"/>
    <w:rsid w:val="005C7FE5"/>
    <w:rsid w:val="005D19B5"/>
    <w:rsid w:val="005D400B"/>
    <w:rsid w:val="005D7F33"/>
    <w:rsid w:val="005E0151"/>
    <w:rsid w:val="005E1607"/>
    <w:rsid w:val="005E2F64"/>
    <w:rsid w:val="005F0FCB"/>
    <w:rsid w:val="005F2904"/>
    <w:rsid w:val="005F29A0"/>
    <w:rsid w:val="005F3FB0"/>
    <w:rsid w:val="006119A5"/>
    <w:rsid w:val="006119EB"/>
    <w:rsid w:val="0062120D"/>
    <w:rsid w:val="006237AD"/>
    <w:rsid w:val="00625E4A"/>
    <w:rsid w:val="006307FD"/>
    <w:rsid w:val="00635505"/>
    <w:rsid w:val="00641E40"/>
    <w:rsid w:val="00642FAB"/>
    <w:rsid w:val="00654261"/>
    <w:rsid w:val="00655841"/>
    <w:rsid w:val="00657072"/>
    <w:rsid w:val="00675FD9"/>
    <w:rsid w:val="006767F0"/>
    <w:rsid w:val="006768EC"/>
    <w:rsid w:val="00684759"/>
    <w:rsid w:val="006904FA"/>
    <w:rsid w:val="00694164"/>
    <w:rsid w:val="006A1E5A"/>
    <w:rsid w:val="006A3377"/>
    <w:rsid w:val="006C3BE8"/>
    <w:rsid w:val="006C5F7C"/>
    <w:rsid w:val="006C650A"/>
    <w:rsid w:val="006D464F"/>
    <w:rsid w:val="006D7279"/>
    <w:rsid w:val="006E3BB7"/>
    <w:rsid w:val="006F17D2"/>
    <w:rsid w:val="006F1BA5"/>
    <w:rsid w:val="006F30FE"/>
    <w:rsid w:val="006F6585"/>
    <w:rsid w:val="007079F9"/>
    <w:rsid w:val="0071579E"/>
    <w:rsid w:val="00715E9F"/>
    <w:rsid w:val="00721B42"/>
    <w:rsid w:val="00721E4E"/>
    <w:rsid w:val="00723486"/>
    <w:rsid w:val="00723793"/>
    <w:rsid w:val="0073257D"/>
    <w:rsid w:val="00741738"/>
    <w:rsid w:val="00745386"/>
    <w:rsid w:val="0074663A"/>
    <w:rsid w:val="007503C8"/>
    <w:rsid w:val="007511FE"/>
    <w:rsid w:val="00754B7C"/>
    <w:rsid w:val="00766D58"/>
    <w:rsid w:val="00773E9E"/>
    <w:rsid w:val="007766B6"/>
    <w:rsid w:val="0077678B"/>
    <w:rsid w:val="00776ED3"/>
    <w:rsid w:val="00783344"/>
    <w:rsid w:val="00783494"/>
    <w:rsid w:val="007A3ACE"/>
    <w:rsid w:val="007C109D"/>
    <w:rsid w:val="007C607D"/>
    <w:rsid w:val="007D47E5"/>
    <w:rsid w:val="008029B7"/>
    <w:rsid w:val="00804C2A"/>
    <w:rsid w:val="00804CEE"/>
    <w:rsid w:val="008126C2"/>
    <w:rsid w:val="00812F8B"/>
    <w:rsid w:val="00836E0F"/>
    <w:rsid w:val="00850F2C"/>
    <w:rsid w:val="008516AA"/>
    <w:rsid w:val="008524CB"/>
    <w:rsid w:val="0085467B"/>
    <w:rsid w:val="00854C26"/>
    <w:rsid w:val="00883C63"/>
    <w:rsid w:val="008911FB"/>
    <w:rsid w:val="00893AE9"/>
    <w:rsid w:val="00893CB7"/>
    <w:rsid w:val="008B3AAD"/>
    <w:rsid w:val="008C0238"/>
    <w:rsid w:val="008C0734"/>
    <w:rsid w:val="008C19D7"/>
    <w:rsid w:val="008D289B"/>
    <w:rsid w:val="008F61CC"/>
    <w:rsid w:val="008F67CE"/>
    <w:rsid w:val="00905170"/>
    <w:rsid w:val="00905EE7"/>
    <w:rsid w:val="0092431A"/>
    <w:rsid w:val="009409DD"/>
    <w:rsid w:val="009410A1"/>
    <w:rsid w:val="0094700D"/>
    <w:rsid w:val="00950855"/>
    <w:rsid w:val="009539D1"/>
    <w:rsid w:val="00956DAC"/>
    <w:rsid w:val="009574E5"/>
    <w:rsid w:val="009620F8"/>
    <w:rsid w:val="00967489"/>
    <w:rsid w:val="00970D94"/>
    <w:rsid w:val="00972CA2"/>
    <w:rsid w:val="00974A50"/>
    <w:rsid w:val="00975659"/>
    <w:rsid w:val="009769E7"/>
    <w:rsid w:val="009846D4"/>
    <w:rsid w:val="009965EF"/>
    <w:rsid w:val="009A0894"/>
    <w:rsid w:val="009B3276"/>
    <w:rsid w:val="009B7729"/>
    <w:rsid w:val="009D18FC"/>
    <w:rsid w:val="009D5569"/>
    <w:rsid w:val="009E4F52"/>
    <w:rsid w:val="009F3246"/>
    <w:rsid w:val="00A15F3B"/>
    <w:rsid w:val="00A24A10"/>
    <w:rsid w:val="00A33232"/>
    <w:rsid w:val="00A37603"/>
    <w:rsid w:val="00A40576"/>
    <w:rsid w:val="00A44573"/>
    <w:rsid w:val="00A540ED"/>
    <w:rsid w:val="00A61F17"/>
    <w:rsid w:val="00A66C16"/>
    <w:rsid w:val="00A7256C"/>
    <w:rsid w:val="00A9261C"/>
    <w:rsid w:val="00A9271F"/>
    <w:rsid w:val="00A939E7"/>
    <w:rsid w:val="00AA2756"/>
    <w:rsid w:val="00AB20AC"/>
    <w:rsid w:val="00AB3D4E"/>
    <w:rsid w:val="00AB4F23"/>
    <w:rsid w:val="00AE2DE5"/>
    <w:rsid w:val="00AF1399"/>
    <w:rsid w:val="00AF7B8B"/>
    <w:rsid w:val="00B0139F"/>
    <w:rsid w:val="00B04FC3"/>
    <w:rsid w:val="00B051E5"/>
    <w:rsid w:val="00B20F53"/>
    <w:rsid w:val="00B24978"/>
    <w:rsid w:val="00B31A75"/>
    <w:rsid w:val="00B36F66"/>
    <w:rsid w:val="00B460F2"/>
    <w:rsid w:val="00B52E5D"/>
    <w:rsid w:val="00B53E43"/>
    <w:rsid w:val="00B6113D"/>
    <w:rsid w:val="00B66C26"/>
    <w:rsid w:val="00B67DC1"/>
    <w:rsid w:val="00B95785"/>
    <w:rsid w:val="00B974C4"/>
    <w:rsid w:val="00BA5ED9"/>
    <w:rsid w:val="00BC3DE9"/>
    <w:rsid w:val="00BC3F61"/>
    <w:rsid w:val="00BC42F2"/>
    <w:rsid w:val="00BD24CA"/>
    <w:rsid w:val="00BD41A9"/>
    <w:rsid w:val="00BD6952"/>
    <w:rsid w:val="00BD7E78"/>
    <w:rsid w:val="00BE59FD"/>
    <w:rsid w:val="00BF6278"/>
    <w:rsid w:val="00BF7B1F"/>
    <w:rsid w:val="00C0007E"/>
    <w:rsid w:val="00C00138"/>
    <w:rsid w:val="00C13BCA"/>
    <w:rsid w:val="00C1744C"/>
    <w:rsid w:val="00C203E1"/>
    <w:rsid w:val="00C263CC"/>
    <w:rsid w:val="00C53C36"/>
    <w:rsid w:val="00C54BC0"/>
    <w:rsid w:val="00C615ED"/>
    <w:rsid w:val="00C63DD2"/>
    <w:rsid w:val="00C72CAB"/>
    <w:rsid w:val="00C84327"/>
    <w:rsid w:val="00C94A24"/>
    <w:rsid w:val="00C951F4"/>
    <w:rsid w:val="00C95430"/>
    <w:rsid w:val="00CA2A7D"/>
    <w:rsid w:val="00CB7CC4"/>
    <w:rsid w:val="00CC01D2"/>
    <w:rsid w:val="00CC3C9E"/>
    <w:rsid w:val="00CD0557"/>
    <w:rsid w:val="00CD3A8F"/>
    <w:rsid w:val="00CD42B5"/>
    <w:rsid w:val="00CD6D1C"/>
    <w:rsid w:val="00CE02CC"/>
    <w:rsid w:val="00CE1EE0"/>
    <w:rsid w:val="00CF683F"/>
    <w:rsid w:val="00D02582"/>
    <w:rsid w:val="00D0316D"/>
    <w:rsid w:val="00D058E1"/>
    <w:rsid w:val="00D06D11"/>
    <w:rsid w:val="00D12756"/>
    <w:rsid w:val="00D17A04"/>
    <w:rsid w:val="00D36A8A"/>
    <w:rsid w:val="00D46FF6"/>
    <w:rsid w:val="00D51647"/>
    <w:rsid w:val="00D541D9"/>
    <w:rsid w:val="00D54FD3"/>
    <w:rsid w:val="00D579FF"/>
    <w:rsid w:val="00D80A36"/>
    <w:rsid w:val="00D926A4"/>
    <w:rsid w:val="00D92E1C"/>
    <w:rsid w:val="00DA044D"/>
    <w:rsid w:val="00DA06F4"/>
    <w:rsid w:val="00DA0775"/>
    <w:rsid w:val="00DA391A"/>
    <w:rsid w:val="00DC11AD"/>
    <w:rsid w:val="00DC47F3"/>
    <w:rsid w:val="00DC5DC2"/>
    <w:rsid w:val="00DD6ED7"/>
    <w:rsid w:val="00DE3826"/>
    <w:rsid w:val="00DE467E"/>
    <w:rsid w:val="00DE703D"/>
    <w:rsid w:val="00DF0F5A"/>
    <w:rsid w:val="00DF48AB"/>
    <w:rsid w:val="00DF56EB"/>
    <w:rsid w:val="00DF7F16"/>
    <w:rsid w:val="00E16029"/>
    <w:rsid w:val="00E24118"/>
    <w:rsid w:val="00E24CC6"/>
    <w:rsid w:val="00E2574A"/>
    <w:rsid w:val="00E369EE"/>
    <w:rsid w:val="00E4130B"/>
    <w:rsid w:val="00E50102"/>
    <w:rsid w:val="00E51535"/>
    <w:rsid w:val="00E556A0"/>
    <w:rsid w:val="00E63973"/>
    <w:rsid w:val="00E7219B"/>
    <w:rsid w:val="00E728D1"/>
    <w:rsid w:val="00E72BCC"/>
    <w:rsid w:val="00E84123"/>
    <w:rsid w:val="00E847A5"/>
    <w:rsid w:val="00E93B12"/>
    <w:rsid w:val="00E94A06"/>
    <w:rsid w:val="00E97117"/>
    <w:rsid w:val="00EA0884"/>
    <w:rsid w:val="00EA1220"/>
    <w:rsid w:val="00EA3B1A"/>
    <w:rsid w:val="00EA67AC"/>
    <w:rsid w:val="00EB3D7F"/>
    <w:rsid w:val="00EB6BF6"/>
    <w:rsid w:val="00EC6C86"/>
    <w:rsid w:val="00EE0578"/>
    <w:rsid w:val="00EE771F"/>
    <w:rsid w:val="00EF1127"/>
    <w:rsid w:val="00EF57A6"/>
    <w:rsid w:val="00F26D66"/>
    <w:rsid w:val="00F30028"/>
    <w:rsid w:val="00F41157"/>
    <w:rsid w:val="00F435C1"/>
    <w:rsid w:val="00F608B0"/>
    <w:rsid w:val="00F61F2C"/>
    <w:rsid w:val="00F63B09"/>
    <w:rsid w:val="00F74590"/>
    <w:rsid w:val="00F85276"/>
    <w:rsid w:val="00F86052"/>
    <w:rsid w:val="00F87BEA"/>
    <w:rsid w:val="00F87CF2"/>
    <w:rsid w:val="00F93FFD"/>
    <w:rsid w:val="00FA571D"/>
    <w:rsid w:val="00FA6005"/>
    <w:rsid w:val="00FA7269"/>
    <w:rsid w:val="00FB58B8"/>
    <w:rsid w:val="00FC1806"/>
    <w:rsid w:val="00FC3CE8"/>
    <w:rsid w:val="00FC5A97"/>
    <w:rsid w:val="00FD2270"/>
    <w:rsid w:val="00FD228A"/>
    <w:rsid w:val="00FD6504"/>
    <w:rsid w:val="00FD713A"/>
    <w:rsid w:val="00FF0F2A"/>
    <w:rsid w:val="00FF1710"/>
    <w:rsid w:val="00FF5259"/>
    <w:rsid w:val="00FF56B7"/>
    <w:rsid w:val="00FF7437"/>
    <w:rsid w:val="00FF7BA1"/>
    <w:rsid w:val="00FF7CCC"/>
    <w:rsid w:val="048625E5"/>
    <w:rsid w:val="04D70369"/>
    <w:rsid w:val="05125B26"/>
    <w:rsid w:val="078353C5"/>
    <w:rsid w:val="0A19629E"/>
    <w:rsid w:val="0A314D1E"/>
    <w:rsid w:val="0AB0324D"/>
    <w:rsid w:val="0B9708C0"/>
    <w:rsid w:val="0C7C51CC"/>
    <w:rsid w:val="0D322C8D"/>
    <w:rsid w:val="10BA75EF"/>
    <w:rsid w:val="11E01978"/>
    <w:rsid w:val="158A7CF6"/>
    <w:rsid w:val="16322361"/>
    <w:rsid w:val="168801D3"/>
    <w:rsid w:val="17FB1D09"/>
    <w:rsid w:val="18963ABD"/>
    <w:rsid w:val="197E58BE"/>
    <w:rsid w:val="1B8755F0"/>
    <w:rsid w:val="1C183DA8"/>
    <w:rsid w:val="1DC67833"/>
    <w:rsid w:val="21874E47"/>
    <w:rsid w:val="240739F0"/>
    <w:rsid w:val="2436509F"/>
    <w:rsid w:val="258067B4"/>
    <w:rsid w:val="2A2E437F"/>
    <w:rsid w:val="2AD74E2E"/>
    <w:rsid w:val="2D4529E9"/>
    <w:rsid w:val="311F4910"/>
    <w:rsid w:val="33476714"/>
    <w:rsid w:val="34287C13"/>
    <w:rsid w:val="35F80DE6"/>
    <w:rsid w:val="360C3331"/>
    <w:rsid w:val="384B0C09"/>
    <w:rsid w:val="388A1B86"/>
    <w:rsid w:val="3B9402C7"/>
    <w:rsid w:val="3E22515D"/>
    <w:rsid w:val="3FB93B63"/>
    <w:rsid w:val="4D0640EF"/>
    <w:rsid w:val="4F883433"/>
    <w:rsid w:val="50994E97"/>
    <w:rsid w:val="54A43EC9"/>
    <w:rsid w:val="573319ED"/>
    <w:rsid w:val="58690DDB"/>
    <w:rsid w:val="599D092E"/>
    <w:rsid w:val="5E1D7A30"/>
    <w:rsid w:val="63057C73"/>
    <w:rsid w:val="642F3DBC"/>
    <w:rsid w:val="653D459F"/>
    <w:rsid w:val="66F160BE"/>
    <w:rsid w:val="67D55C76"/>
    <w:rsid w:val="67D74268"/>
    <w:rsid w:val="6B1915BE"/>
    <w:rsid w:val="6C1A5C42"/>
    <w:rsid w:val="6E1E6BBC"/>
    <w:rsid w:val="7CFA2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sz w:val="32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9"/>
    <w:pPr>
      <w:pBdr>
        <w:top w:val="single" w:color="4472C4" w:themeColor="accent1" w:sz="24" w:space="0"/>
        <w:left w:val="single" w:color="4472C4" w:themeColor="accent1" w:sz="24" w:space="0"/>
        <w:bottom w:val="single" w:color="4472C4" w:themeColor="accent1" w:sz="24" w:space="0"/>
        <w:right w:val="single" w:color="4472C4" w:themeColor="accent1" w:sz="24" w:space="0"/>
      </w:pBdr>
      <w:shd w:val="clear" w:color="auto" w:fill="4472C4" w:themeFill="accent1"/>
      <w:outlineLvl w:val="0"/>
    </w:pPr>
    <w:rPr>
      <w:caps/>
      <w:color w:val="FFFFFF" w:themeColor="background1"/>
      <w:spacing w:val="15"/>
      <w:sz w:val="22"/>
      <w:szCs w:val="22"/>
      <w14:textFill>
        <w14:solidFill>
          <w14:schemeClr w14:val="bg1"/>
        </w14:solidFill>
      </w14:textFill>
    </w:rPr>
  </w:style>
  <w:style w:type="paragraph" w:styleId="3">
    <w:name w:val="heading 2"/>
    <w:basedOn w:val="1"/>
    <w:next w:val="1"/>
    <w:link w:val="27"/>
    <w:autoRedefine/>
    <w:unhideWhenUsed/>
    <w:qFormat/>
    <w:uiPriority w:val="9"/>
    <w:pPr>
      <w:pBdr>
        <w:top w:val="single" w:color="D9E2F3" w:themeColor="accent1" w:themeTint="33" w:sz="24" w:space="0"/>
        <w:left w:val="single" w:color="D9E2F3" w:themeColor="accent1" w:themeTint="33" w:sz="24" w:space="0"/>
        <w:bottom w:val="single" w:color="D9E2F3" w:themeColor="accent1" w:themeTint="33" w:sz="24" w:space="0"/>
        <w:right w:val="single" w:color="D9E2F3" w:themeColor="accent1" w:themeTint="33" w:sz="24" w:space="0"/>
      </w:pBdr>
      <w:shd w:val="clear" w:color="auto" w:fill="D9E2F3" w:themeFill="accent1" w:themeFillTint="33"/>
      <w:spacing w:before="156" w:beforeLines="50" w:after="156" w:afterLines="50" w:line="360" w:lineRule="auto"/>
      <w:outlineLvl w:val="1"/>
    </w:pPr>
    <w:rPr>
      <w:caps/>
      <w:spacing w:val="15"/>
      <w:sz w:val="40"/>
      <w:szCs w:val="40"/>
    </w:rPr>
  </w:style>
  <w:style w:type="paragraph" w:styleId="4">
    <w:name w:val="heading 3"/>
    <w:basedOn w:val="1"/>
    <w:next w:val="1"/>
    <w:link w:val="28"/>
    <w:unhideWhenUsed/>
    <w:qFormat/>
    <w:uiPriority w:val="9"/>
    <w:pPr>
      <w:pBdr>
        <w:top w:val="single" w:color="4472C4" w:themeColor="accent1" w:sz="6" w:space="2"/>
      </w:pBdr>
      <w:spacing w:before="300"/>
      <w:outlineLvl w:val="2"/>
    </w:pPr>
    <w:rPr>
      <w:caps/>
      <w:color w:val="203864" w:themeColor="accent1" w:themeShade="80"/>
      <w:spacing w:val="15"/>
    </w:rPr>
  </w:style>
  <w:style w:type="paragraph" w:styleId="5">
    <w:name w:val="heading 4"/>
    <w:basedOn w:val="1"/>
    <w:next w:val="1"/>
    <w:link w:val="29"/>
    <w:semiHidden/>
    <w:unhideWhenUsed/>
    <w:qFormat/>
    <w:uiPriority w:val="9"/>
    <w:pPr>
      <w:pBdr>
        <w:top w:val="dotted" w:color="4472C4" w:themeColor="accent1" w:sz="6" w:space="2"/>
      </w:pBdr>
      <w:spacing w:before="200"/>
      <w:outlineLvl w:val="3"/>
    </w:pPr>
    <w:rPr>
      <w:caps/>
      <w:color w:val="2F5597" w:themeColor="accent1" w:themeShade="BF"/>
      <w:spacing w:val="10"/>
    </w:rPr>
  </w:style>
  <w:style w:type="paragraph" w:styleId="6">
    <w:name w:val="heading 5"/>
    <w:basedOn w:val="1"/>
    <w:next w:val="1"/>
    <w:link w:val="30"/>
    <w:semiHidden/>
    <w:unhideWhenUsed/>
    <w:qFormat/>
    <w:uiPriority w:val="9"/>
    <w:pPr>
      <w:pBdr>
        <w:bottom w:val="single" w:color="4472C4" w:themeColor="accent1" w:sz="6" w:space="1"/>
      </w:pBdr>
      <w:spacing w:before="200"/>
      <w:outlineLvl w:val="4"/>
    </w:pPr>
    <w:rPr>
      <w:caps/>
      <w:color w:val="2F5597" w:themeColor="accent1" w:themeShade="BF"/>
      <w:spacing w:val="10"/>
    </w:rPr>
  </w:style>
  <w:style w:type="paragraph" w:styleId="7">
    <w:name w:val="heading 6"/>
    <w:basedOn w:val="1"/>
    <w:next w:val="1"/>
    <w:link w:val="31"/>
    <w:semiHidden/>
    <w:unhideWhenUsed/>
    <w:qFormat/>
    <w:uiPriority w:val="9"/>
    <w:pPr>
      <w:pBdr>
        <w:bottom w:val="dotted" w:color="4472C4" w:themeColor="accent1" w:sz="6" w:space="1"/>
      </w:pBdr>
      <w:spacing w:before="200"/>
      <w:outlineLvl w:val="5"/>
    </w:pPr>
    <w:rPr>
      <w:caps/>
      <w:color w:val="2F5597" w:themeColor="accent1" w:themeShade="BF"/>
      <w:spacing w:val="10"/>
    </w:rPr>
  </w:style>
  <w:style w:type="paragraph" w:styleId="8">
    <w:name w:val="heading 7"/>
    <w:basedOn w:val="1"/>
    <w:next w:val="1"/>
    <w:link w:val="32"/>
    <w:semiHidden/>
    <w:unhideWhenUsed/>
    <w:qFormat/>
    <w:uiPriority w:val="9"/>
    <w:pPr>
      <w:spacing w:before="200"/>
      <w:outlineLvl w:val="6"/>
    </w:pPr>
    <w:rPr>
      <w:caps/>
      <w:color w:val="2F5597" w:themeColor="accent1" w:themeShade="BF"/>
      <w:spacing w:val="10"/>
    </w:rPr>
  </w:style>
  <w:style w:type="paragraph" w:styleId="9">
    <w:name w:val="heading 8"/>
    <w:basedOn w:val="1"/>
    <w:next w:val="1"/>
    <w:link w:val="33"/>
    <w:semiHidden/>
    <w:unhideWhenUsed/>
    <w:qFormat/>
    <w:uiPriority w:val="9"/>
    <w:pPr>
      <w:spacing w:before="200"/>
      <w:outlineLvl w:val="7"/>
    </w:pPr>
    <w:rPr>
      <w:caps/>
      <w:spacing w:val="10"/>
      <w:sz w:val="18"/>
      <w:szCs w:val="18"/>
    </w:rPr>
  </w:style>
  <w:style w:type="paragraph" w:styleId="10">
    <w:name w:val="heading 9"/>
    <w:basedOn w:val="1"/>
    <w:next w:val="1"/>
    <w:link w:val="34"/>
    <w:semiHidden/>
    <w:unhideWhenUsed/>
    <w:qFormat/>
    <w:uiPriority w:val="9"/>
    <w:pPr>
      <w:spacing w:before="200"/>
      <w:outlineLvl w:val="8"/>
    </w:pPr>
    <w:rPr>
      <w:i/>
      <w:iCs/>
      <w:caps/>
      <w:spacing w:val="10"/>
      <w:sz w:val="18"/>
      <w:szCs w:val="18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semiHidden/>
    <w:unhideWhenUsed/>
    <w:qFormat/>
    <w:uiPriority w:val="35"/>
    <w:rPr>
      <w:b/>
      <w:bCs/>
      <w:color w:val="2F5597" w:themeColor="accent1" w:themeShade="BF"/>
      <w:sz w:val="16"/>
      <w:szCs w:val="16"/>
    </w:rPr>
  </w:style>
  <w:style w:type="paragraph" w:styleId="12">
    <w:name w:val="annotation text"/>
    <w:basedOn w:val="1"/>
    <w:link w:val="52"/>
    <w:unhideWhenUsed/>
    <w:qFormat/>
    <w:uiPriority w:val="99"/>
  </w:style>
  <w:style w:type="paragraph" w:styleId="13">
    <w:name w:val="footer"/>
    <w:basedOn w:val="1"/>
    <w:link w:val="50"/>
    <w:unhideWhenUsed/>
    <w:qFormat/>
    <w:uiPriority w:val="99"/>
    <w:pPr>
      <w:tabs>
        <w:tab w:val="center" w:pos="4320"/>
        <w:tab w:val="right" w:pos="8640"/>
      </w:tabs>
    </w:pPr>
  </w:style>
  <w:style w:type="paragraph" w:styleId="14">
    <w:name w:val="header"/>
    <w:basedOn w:val="1"/>
    <w:link w:val="49"/>
    <w:unhideWhenUsed/>
    <w:qFormat/>
    <w:uiPriority w:val="99"/>
    <w:pPr>
      <w:tabs>
        <w:tab w:val="center" w:pos="4320"/>
        <w:tab w:val="right" w:pos="8640"/>
      </w:tabs>
    </w:pPr>
  </w:style>
  <w:style w:type="paragraph" w:styleId="15">
    <w:name w:val="toc 1"/>
    <w:basedOn w:val="1"/>
    <w:next w:val="1"/>
    <w:autoRedefine/>
    <w:unhideWhenUsed/>
    <w:qFormat/>
    <w:uiPriority w:val="39"/>
  </w:style>
  <w:style w:type="paragraph" w:styleId="16">
    <w:name w:val="Subtitle"/>
    <w:basedOn w:val="1"/>
    <w:next w:val="1"/>
    <w:link w:val="36"/>
    <w:qFormat/>
    <w:uiPriority w:val="11"/>
    <w:pPr>
      <w:spacing w:after="500"/>
    </w:pPr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7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8">
    <w:name w:val="Title"/>
    <w:basedOn w:val="1"/>
    <w:next w:val="1"/>
    <w:link w:val="35"/>
    <w:qFormat/>
    <w:uiPriority w:val="10"/>
    <w:rPr>
      <w:rFonts w:asciiTheme="majorHAnsi" w:hAnsiTheme="majorHAnsi" w:eastAsiaTheme="majorEastAsia" w:cstheme="majorBidi"/>
      <w:caps/>
      <w:color w:val="4472C4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paragraph" w:styleId="19">
    <w:name w:val="annotation subject"/>
    <w:basedOn w:val="12"/>
    <w:next w:val="12"/>
    <w:link w:val="53"/>
    <w:semiHidden/>
    <w:unhideWhenUsed/>
    <w:qFormat/>
    <w:uiPriority w:val="99"/>
    <w:rPr>
      <w:b/>
      <w:bCs/>
    </w:rPr>
  </w:style>
  <w:style w:type="character" w:styleId="22">
    <w:name w:val="Strong"/>
    <w:qFormat/>
    <w:uiPriority w:val="22"/>
    <w:rPr>
      <w:b/>
      <w:bCs/>
    </w:rPr>
  </w:style>
  <w:style w:type="character" w:styleId="23">
    <w:name w:val="Emphasis"/>
    <w:qFormat/>
    <w:uiPriority w:val="20"/>
    <w:rPr>
      <w:caps/>
      <w:color w:val="203864" w:themeColor="accent1" w:themeShade="80"/>
      <w:spacing w:val="5"/>
    </w:rPr>
  </w:style>
  <w:style w:type="character" w:styleId="24">
    <w:name w:val="Hyperlink"/>
    <w:basedOn w:val="2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5">
    <w:name w:val="annotation reference"/>
    <w:basedOn w:val="21"/>
    <w:semiHidden/>
    <w:unhideWhenUsed/>
    <w:qFormat/>
    <w:uiPriority w:val="99"/>
    <w:rPr>
      <w:sz w:val="21"/>
      <w:szCs w:val="21"/>
    </w:rPr>
  </w:style>
  <w:style w:type="character" w:customStyle="1" w:styleId="26">
    <w:name w:val="标题 1 字符"/>
    <w:basedOn w:val="21"/>
    <w:link w:val="2"/>
    <w:qFormat/>
    <w:uiPriority w:val="9"/>
    <w:rPr>
      <w:caps/>
      <w:color w:val="FFFFFF" w:themeColor="background1"/>
      <w:spacing w:val="15"/>
      <w:sz w:val="22"/>
      <w:szCs w:val="22"/>
      <w:shd w:val="clear" w:color="auto" w:fill="4472C4" w:themeFill="accent1"/>
      <w14:textFill>
        <w14:solidFill>
          <w14:schemeClr w14:val="bg1"/>
        </w14:solidFill>
      </w14:textFill>
    </w:rPr>
  </w:style>
  <w:style w:type="character" w:customStyle="1" w:styleId="27">
    <w:name w:val="标题 2 字符"/>
    <w:basedOn w:val="21"/>
    <w:link w:val="3"/>
    <w:qFormat/>
    <w:uiPriority w:val="9"/>
    <w:rPr>
      <w:rFonts w:asciiTheme="minorHAnsi" w:hAnsiTheme="minorHAnsi" w:eastAsiaTheme="minorEastAsia" w:cstheme="minorBidi"/>
      <w:caps/>
      <w:spacing w:val="15"/>
      <w:sz w:val="40"/>
      <w:szCs w:val="40"/>
      <w:shd w:val="clear" w:color="auto" w:fill="D9E2F3" w:themeFill="accent1" w:themeFillTint="33"/>
    </w:rPr>
  </w:style>
  <w:style w:type="character" w:customStyle="1" w:styleId="28">
    <w:name w:val="标题 3 字符"/>
    <w:basedOn w:val="21"/>
    <w:link w:val="4"/>
    <w:qFormat/>
    <w:uiPriority w:val="9"/>
    <w:rPr>
      <w:caps/>
      <w:color w:val="203864" w:themeColor="accent1" w:themeShade="80"/>
      <w:spacing w:val="15"/>
    </w:rPr>
  </w:style>
  <w:style w:type="character" w:customStyle="1" w:styleId="29">
    <w:name w:val="标题 4 字符"/>
    <w:basedOn w:val="21"/>
    <w:link w:val="5"/>
    <w:semiHidden/>
    <w:qFormat/>
    <w:uiPriority w:val="9"/>
    <w:rPr>
      <w:caps/>
      <w:color w:val="2F5597" w:themeColor="accent1" w:themeShade="BF"/>
      <w:spacing w:val="10"/>
    </w:rPr>
  </w:style>
  <w:style w:type="character" w:customStyle="1" w:styleId="30">
    <w:name w:val="标题 5 字符"/>
    <w:basedOn w:val="21"/>
    <w:link w:val="6"/>
    <w:semiHidden/>
    <w:qFormat/>
    <w:uiPriority w:val="9"/>
    <w:rPr>
      <w:caps/>
      <w:color w:val="2F5597" w:themeColor="accent1" w:themeShade="BF"/>
      <w:spacing w:val="10"/>
    </w:rPr>
  </w:style>
  <w:style w:type="character" w:customStyle="1" w:styleId="31">
    <w:name w:val="标题 6 字符"/>
    <w:basedOn w:val="21"/>
    <w:link w:val="7"/>
    <w:semiHidden/>
    <w:qFormat/>
    <w:uiPriority w:val="9"/>
    <w:rPr>
      <w:caps/>
      <w:color w:val="2F5597" w:themeColor="accent1" w:themeShade="BF"/>
      <w:spacing w:val="10"/>
    </w:rPr>
  </w:style>
  <w:style w:type="character" w:customStyle="1" w:styleId="32">
    <w:name w:val="标题 7 字符"/>
    <w:basedOn w:val="21"/>
    <w:link w:val="8"/>
    <w:semiHidden/>
    <w:qFormat/>
    <w:uiPriority w:val="9"/>
    <w:rPr>
      <w:caps/>
      <w:color w:val="2F5597" w:themeColor="accent1" w:themeShade="BF"/>
      <w:spacing w:val="10"/>
    </w:rPr>
  </w:style>
  <w:style w:type="character" w:customStyle="1" w:styleId="33">
    <w:name w:val="标题 8 字符"/>
    <w:basedOn w:val="21"/>
    <w:link w:val="9"/>
    <w:semiHidden/>
    <w:qFormat/>
    <w:uiPriority w:val="9"/>
    <w:rPr>
      <w:caps/>
      <w:spacing w:val="10"/>
      <w:sz w:val="18"/>
      <w:szCs w:val="18"/>
    </w:rPr>
  </w:style>
  <w:style w:type="character" w:customStyle="1" w:styleId="34">
    <w:name w:val="标题 9 字符"/>
    <w:basedOn w:val="21"/>
    <w:link w:val="10"/>
    <w:semiHidden/>
    <w:qFormat/>
    <w:uiPriority w:val="9"/>
    <w:rPr>
      <w:i/>
      <w:iCs/>
      <w:caps/>
      <w:spacing w:val="10"/>
      <w:sz w:val="18"/>
      <w:szCs w:val="18"/>
    </w:rPr>
  </w:style>
  <w:style w:type="character" w:customStyle="1" w:styleId="35">
    <w:name w:val="标题 字符"/>
    <w:basedOn w:val="21"/>
    <w:link w:val="18"/>
    <w:qFormat/>
    <w:uiPriority w:val="10"/>
    <w:rPr>
      <w:rFonts w:asciiTheme="majorHAnsi" w:hAnsiTheme="majorHAnsi" w:eastAsiaTheme="majorEastAsia" w:cstheme="majorBidi"/>
      <w:caps/>
      <w:color w:val="4472C4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character" w:customStyle="1" w:styleId="36">
    <w:name w:val="副标题 字符"/>
    <w:basedOn w:val="21"/>
    <w:link w:val="16"/>
    <w:qFormat/>
    <w:uiPriority w:val="11"/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7">
    <w:name w:val="No Spacing"/>
    <w:basedOn w:val="1"/>
    <w:autoRedefine/>
    <w:qFormat/>
    <w:uiPriority w:val="1"/>
    <w:pPr>
      <w:ind w:left="200" w:leftChars="200"/>
    </w:pPr>
  </w:style>
  <w:style w:type="paragraph" w:styleId="38">
    <w:name w:val="Quote"/>
    <w:basedOn w:val="1"/>
    <w:next w:val="1"/>
    <w:link w:val="39"/>
    <w:qFormat/>
    <w:uiPriority w:val="29"/>
    <w:rPr>
      <w:i/>
      <w:iCs/>
      <w:sz w:val="24"/>
      <w:szCs w:val="24"/>
    </w:rPr>
  </w:style>
  <w:style w:type="character" w:customStyle="1" w:styleId="39">
    <w:name w:val="引用 字符"/>
    <w:basedOn w:val="21"/>
    <w:link w:val="38"/>
    <w:qFormat/>
    <w:uiPriority w:val="29"/>
    <w:rPr>
      <w:i/>
      <w:iCs/>
      <w:sz w:val="24"/>
      <w:szCs w:val="24"/>
    </w:rPr>
  </w:style>
  <w:style w:type="paragraph" w:styleId="40">
    <w:name w:val="Intense Quote"/>
    <w:basedOn w:val="1"/>
    <w:next w:val="1"/>
    <w:link w:val="41"/>
    <w:qFormat/>
    <w:uiPriority w:val="30"/>
    <w:pPr>
      <w:spacing w:before="240" w:after="240"/>
      <w:ind w:left="1080" w:right="1080"/>
      <w:jc w:val="center"/>
    </w:pPr>
    <w:rPr>
      <w:color w:val="4472C4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1">
    <w:name w:val="明显引用 字符"/>
    <w:basedOn w:val="21"/>
    <w:link w:val="40"/>
    <w:qFormat/>
    <w:uiPriority w:val="30"/>
    <w:rPr>
      <w:color w:val="4472C4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2">
    <w:name w:val="不明显强调1"/>
    <w:qFormat/>
    <w:uiPriority w:val="19"/>
    <w:rPr>
      <w:i/>
      <w:iCs/>
      <w:color w:val="203864" w:themeColor="accent1" w:themeShade="80"/>
    </w:rPr>
  </w:style>
  <w:style w:type="character" w:customStyle="1" w:styleId="43">
    <w:name w:val="明显强调1"/>
    <w:qFormat/>
    <w:uiPriority w:val="21"/>
    <w:rPr>
      <w:b/>
      <w:bCs/>
      <w:caps/>
      <w:color w:val="203864" w:themeColor="accent1" w:themeShade="80"/>
      <w:spacing w:val="10"/>
    </w:rPr>
  </w:style>
  <w:style w:type="character" w:customStyle="1" w:styleId="44">
    <w:name w:val="不明显参考1"/>
    <w:qFormat/>
    <w:uiPriority w:val="31"/>
    <w:rPr>
      <w:b/>
      <w:bCs/>
      <w:color w:val="4472C4" w:themeColor="accent1"/>
      <w14:textFill>
        <w14:solidFill>
          <w14:schemeClr w14:val="accent1"/>
        </w14:solidFill>
      </w14:textFill>
    </w:rPr>
  </w:style>
  <w:style w:type="character" w:customStyle="1" w:styleId="45">
    <w:name w:val="明显参考1"/>
    <w:qFormat/>
    <w:uiPriority w:val="32"/>
    <w:rPr>
      <w:b/>
      <w:bCs/>
      <w:i/>
      <w:iCs/>
      <w:caps/>
      <w:color w:val="4472C4" w:themeColor="accent1"/>
      <w14:textFill>
        <w14:solidFill>
          <w14:schemeClr w14:val="accent1"/>
        </w14:solidFill>
      </w14:textFill>
    </w:rPr>
  </w:style>
  <w:style w:type="character" w:customStyle="1" w:styleId="46">
    <w:name w:val="书籍标题1"/>
    <w:qFormat/>
    <w:uiPriority w:val="33"/>
    <w:rPr>
      <w:b/>
      <w:bCs/>
      <w:i/>
      <w:iCs/>
      <w:spacing w:val="0"/>
    </w:rPr>
  </w:style>
  <w:style w:type="paragraph" w:customStyle="1" w:styleId="47">
    <w:name w:val="TOC 标题1"/>
    <w:basedOn w:val="2"/>
    <w:next w:val="1"/>
    <w:unhideWhenUsed/>
    <w:qFormat/>
    <w:uiPriority w:val="39"/>
    <w:pPr>
      <w:outlineLvl w:val="9"/>
    </w:pPr>
  </w:style>
  <w:style w:type="paragraph" w:styleId="48">
    <w:name w:val="List Paragraph"/>
    <w:basedOn w:val="1"/>
    <w:qFormat/>
    <w:uiPriority w:val="34"/>
    <w:pPr>
      <w:ind w:firstLine="420" w:firstLineChars="200"/>
    </w:pPr>
  </w:style>
  <w:style w:type="character" w:customStyle="1" w:styleId="49">
    <w:name w:val="页眉 字符"/>
    <w:basedOn w:val="21"/>
    <w:link w:val="14"/>
    <w:qFormat/>
    <w:uiPriority w:val="99"/>
  </w:style>
  <w:style w:type="character" w:customStyle="1" w:styleId="50">
    <w:name w:val="页脚 字符"/>
    <w:basedOn w:val="21"/>
    <w:link w:val="13"/>
    <w:qFormat/>
    <w:uiPriority w:val="99"/>
  </w:style>
  <w:style w:type="paragraph" w:customStyle="1" w:styleId="51">
    <w:name w:val="修订1"/>
    <w:hidden/>
    <w:unhideWhenUsed/>
    <w:qFormat/>
    <w:uiPriority w:val="99"/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52">
    <w:name w:val="批注文字 字符"/>
    <w:basedOn w:val="21"/>
    <w:link w:val="12"/>
    <w:qFormat/>
    <w:uiPriority w:val="99"/>
    <w:rPr>
      <w:rFonts w:asciiTheme="minorHAnsi" w:hAnsiTheme="minorHAnsi" w:eastAsiaTheme="minorEastAsia" w:cstheme="minorBidi"/>
    </w:rPr>
  </w:style>
  <w:style w:type="character" w:customStyle="1" w:styleId="53">
    <w:name w:val="批注主题 字符"/>
    <w:basedOn w:val="52"/>
    <w:link w:val="19"/>
    <w:semiHidden/>
    <w:qFormat/>
    <w:uiPriority w:val="99"/>
    <w:rPr>
      <w:rFonts w:asciiTheme="minorHAnsi" w:hAnsiTheme="minorHAnsi" w:eastAsiaTheme="minorEastAsia" w:cstheme="minorBidi"/>
      <w:b/>
      <w:bCs/>
    </w:rPr>
  </w:style>
  <w:style w:type="paragraph" w:customStyle="1" w:styleId="54">
    <w:name w:val="Revision"/>
    <w:hidden/>
    <w:unhideWhenUsed/>
    <w:qFormat/>
    <w:uiPriority w:val="99"/>
    <w:rPr>
      <w:rFonts w:asciiTheme="minorHAnsi" w:hAnsiTheme="minorHAnsi" w:eastAsiaTheme="minorEastAsia" w:cstheme="minorBidi"/>
      <w:sz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1306</Words>
  <Characters>1710</Characters>
  <Lines>22</Lines>
  <Paragraphs>6</Paragraphs>
  <TotalTime>18</TotalTime>
  <ScaleCrop>false</ScaleCrop>
  <LinksUpToDate>false</LinksUpToDate>
  <CharactersWithSpaces>1818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2024-12-18T02:24:00Z</dcterms:created>
  <dc:creator>Jinbang Zhang</dc:creator>
  <cp:lastModifiedBy>V   酒哥</cp:lastModifiedBy>
  <cp:lastPrinted>2024-03-15T08:02:00Z</cp:lastPrinted>
  <dcterms:modified xsi:type="dcterms:W3CDTF">2025-03-18T07:23:08Z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F57BB4FAB8EA421EB5C524DFC9544077_13</vt:lpwstr>
  </property>
  <property fmtid="{D5CDD505-2E9C-101B-9397-08002B2CF9AE}" pid="4" name="KSOTemplateDocerSaveRecord">
    <vt:lpwstr>eyJoZGlkIjoiYzE4M2Q4MDRlYjVkMzliNDdhM2Q2MjMwNDQzMGEyZjAiLCJ1c2VySWQiOiIyODUwMDc5MDgifQ==</vt:lpwstr>
  </property>
</Properties>
</file>